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85" w:lineRule="atLeast"/>
        <w:rPr>
          <w:rFonts w:ascii="宋体" w:hAnsi="宋体" w:cs="宋体"/>
          <w:b/>
          <w:sz w:val="72"/>
        </w:rPr>
        <w:pBdr>
          <w:top w:val="none" w:color="000000" w:sz="0" w:space="0"/>
          <w:left w:val="none" w:color="000000" w:sz="0" w:space="0"/>
          <w:bottom w:val="none" w:color="000000" w:sz="0" w:space="0"/>
          <w:right w:val="none" w:color="000000" w:sz="0" w:space="0"/>
        </w:pBdr>
      </w:pPr>
      <w:r>
        <w:rPr>
          <w:rFonts w:ascii="宋体" w:hAnsi="宋体" w:cs="宋体"/>
          <w:b/>
          <w:sz w:val="72"/>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太仓市政府采购</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72"/>
        </w:rPr>
        <w:t xml:space="preserve">招 标 文 件</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630"/>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32"/>
          <w:highlight w:val="none"/>
        </w:rPr>
        <w:t xml:space="preserve"> </w:t>
      </w:r>
      <w:r/>
    </w:p>
    <w:p>
      <w:pPr>
        <w:ind w:firstLine="1084"/>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项目编号：</w:t>
      </w:r>
      <w:r>
        <w:rPr>
          <w:rFonts w:hint="eastAsia" w:ascii="宋体" w:hAnsi="宋体" w:cs="宋体"/>
          <w:b/>
          <w:sz w:val="36"/>
          <w:highlight w:val="none"/>
          <w:lang w:eastAsia="zh-CN"/>
        </w:rPr>
        <w:t xml:space="preserve">JSZC-320585-JZCG-G2025-0170</w:t>
      </w:r>
      <w:r/>
    </w:p>
    <w:p>
      <w:pPr>
        <w:ind w:firstLine="1084"/>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项目名称：</w:t>
      </w:r>
      <w:r>
        <w:rPr>
          <w:rFonts w:hint="eastAsia" w:ascii="宋体" w:hAnsi="宋体" w:cs="宋体"/>
          <w:b/>
          <w:sz w:val="36"/>
          <w:lang w:eastAsia="zh-CN"/>
        </w:rPr>
        <w:t xml:space="preserve">城厢镇实验小学家具采购</w:t>
      </w:r>
      <w:r/>
    </w:p>
    <w:p>
      <w:pPr>
        <w:ind w:firstLine="1084"/>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采购单位：</w:t>
      </w:r>
      <w:r>
        <w:rPr>
          <w:rFonts w:hint="eastAsia" w:ascii="宋体" w:hAnsi="宋体" w:cs="宋体"/>
          <w:b/>
          <w:sz w:val="36"/>
          <w:lang w:eastAsia="zh-CN"/>
        </w:rPr>
        <w:t xml:space="preserve">太仓市城厢镇人民政府</w:t>
      </w:r>
      <w:r/>
    </w:p>
    <w:p>
      <w:pPr>
        <w:ind w:firstLine="1084"/>
        <w:spacing w:line="85" w:lineRule="atLeast"/>
        <w:rPr>
          <w:rFonts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采购项目类别：货物类</w:t>
      </w:r>
      <w:r/>
    </w:p>
    <w:p>
      <w:pPr>
        <w:ind w:firstLine="1084"/>
        <w:spacing w:line="85" w:lineRule="atLeast"/>
        <w:rPr>
          <w:rFonts w:ascii="宋体" w:hAnsi="宋体" w:cs="宋体"/>
          <w:b/>
          <w:sz w:val="36"/>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标的所属行业：（二）工业</w:t>
      </w:r>
      <w:r/>
    </w:p>
    <w:p>
      <w:pPr>
        <w:spacing w:line="85" w:lineRule="atLeas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pStyle w:val="1003"/>
        <w:rPr>
          <w:sz w:val="28"/>
        </w:rPr>
      </w:pPr>
      <w:r>
        <w:rPr>
          <w:sz w:val="28"/>
        </w:rPr>
      </w:r>
      <w:r/>
    </w:p>
    <w:p>
      <w:r/>
      <w:r/>
    </w:p>
    <w:p>
      <w:pPr>
        <w:pStyle w:val="824"/>
        <w:rPr>
          <w:lang w:eastAsia="zh-CN"/>
        </w:rPr>
      </w:pPr>
      <w:r>
        <w:rPr>
          <w:lang w:eastAsia="zh-CN"/>
        </w:rPr>
      </w:r>
      <w:r/>
    </w:p>
    <w:p>
      <w:pPr>
        <w:pStyle w:val="824"/>
        <w:rPr>
          <w:lang w:eastAsia="zh-CN"/>
        </w:rPr>
      </w:pPr>
      <w:r>
        <w:rPr>
          <w:lang w:eastAsia="zh-CN"/>
        </w:rPr>
      </w:r>
      <w:r/>
    </w:p>
    <w:p>
      <w:pPr>
        <w:pStyle w:val="824"/>
        <w:rPr>
          <w:rFonts w:eastAsiaTheme="minorEastAsia"/>
          <w:lang w:eastAsia="zh-CN"/>
        </w:rPr>
      </w:pPr>
      <w:r>
        <w:rPr>
          <w:rFonts w:eastAsiaTheme="minorEastAsia"/>
          <w:lang w:eastAsia="zh-CN"/>
        </w:rPr>
      </w:r>
      <w:r/>
    </w:p>
    <w:p>
      <w:pPr>
        <w:pStyle w:val="824"/>
        <w:rPr>
          <w:rFonts w:eastAsiaTheme="minorEastAsia"/>
          <w:lang w:eastAsia="zh-CN"/>
        </w:rPr>
      </w:pPr>
      <w:r>
        <w:rPr>
          <w:rFonts w:eastAsiaTheme="minorEastAsia"/>
          <w:lang w:eastAsia="zh-CN"/>
        </w:rPr>
      </w:r>
      <w:r/>
    </w:p>
    <w:p>
      <w:pPr>
        <w:pStyle w:val="824"/>
        <w:rPr>
          <w:rFonts w:eastAsiaTheme="minorEastAsia"/>
          <w:lang w:eastAsia="zh-CN"/>
        </w:rPr>
      </w:pPr>
      <w:r>
        <w:rPr>
          <w:rFonts w:eastAsiaTheme="minorEastAsia"/>
          <w:lang w:eastAsia="zh-CN"/>
        </w:rPr>
      </w:r>
      <w:r/>
    </w:p>
    <w:p>
      <w:pPr>
        <w:pStyle w:val="824"/>
        <w:rPr>
          <w:rFonts w:eastAsiaTheme="minorEastAsia"/>
          <w:lang w:eastAsia="zh-CN"/>
        </w:rPr>
      </w:pPr>
      <w:r>
        <w:rPr>
          <w:rFonts w:eastAsiaTheme="minorEastAsia"/>
          <w:lang w:eastAsia="zh-CN"/>
        </w:rPr>
      </w:r>
      <w:r/>
    </w:p>
    <w:p>
      <w:pPr>
        <w:pStyle w:val="824"/>
        <w:rPr>
          <w:rFonts w:eastAsiaTheme="minorEastAsia"/>
          <w:lang w:eastAsia="zh-CN"/>
        </w:rPr>
      </w:pPr>
      <w:r>
        <w:rPr>
          <w:rFonts w:eastAsiaTheme="minorEastAsia"/>
          <w:lang w:eastAsia="zh-CN"/>
        </w:rPr>
      </w:r>
      <w:r/>
    </w:p>
    <w:p>
      <w:pPr>
        <w:pStyle w:val="824"/>
        <w:rPr>
          <w:lang w:eastAsia="zh-CN"/>
        </w:rPr>
      </w:pPr>
      <w:r>
        <w:rPr>
          <w:lang w:eastAsia="zh-CN"/>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44"/>
        </w:rPr>
        <w:t xml:space="preserve">苏州市公共资源交易中心太仓分中心</w:t>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sz w:val="44"/>
          <w:highlight w:val="none"/>
        </w:rPr>
        <w:t xml:space="preserve">202</w:t>
      </w:r>
      <w:r>
        <w:rPr>
          <w:rFonts w:hint="eastAsia" w:ascii="宋体" w:hAnsi="宋体" w:cs="宋体"/>
          <w:sz w:val="44"/>
          <w:highlight w:val="none"/>
          <w:lang w:val="en-US" w:eastAsia="zh-CN"/>
        </w:rPr>
        <w:t xml:space="preserve">6</w:t>
      </w:r>
      <w:r>
        <w:rPr>
          <w:rFonts w:ascii="宋体" w:hAnsi="宋体" w:cs="宋体"/>
          <w:sz w:val="44"/>
          <w:highlight w:val="none"/>
        </w:rPr>
        <w:t xml:space="preserve">年</w:t>
      </w:r>
      <w:r>
        <w:rPr>
          <w:rFonts w:hint="eastAsia" w:ascii="宋体" w:hAnsi="宋体" w:cs="宋体"/>
          <w:sz w:val="44"/>
          <w:highlight w:val="none"/>
        </w:rPr>
        <w:t xml:space="preserve">1</w:t>
      </w:r>
      <w:r>
        <w:rPr>
          <w:rFonts w:ascii="宋体" w:hAnsi="宋体" w:cs="宋体"/>
          <w:sz w:val="44"/>
          <w:highlight w:val="none"/>
        </w:rPr>
        <w:t xml:space="preserve">月</w:t>
      </w:r>
      <w:r/>
    </w:p>
    <w:p>
      <w:pPr>
        <w:jc w:val="center"/>
        <w:spacing w:line="85" w:lineRule="atLeast"/>
        <w:rPr>
          <w:rFonts w:ascii="宋体" w:hAnsi="宋体" w:cs="宋体"/>
          <w:b/>
          <w:sz w:val="36"/>
        </w:rPr>
        <w:pBdr>
          <w:top w:val="none" w:color="000000" w:sz="0" w:space="0"/>
          <w:left w:val="none" w:color="000000" w:sz="0" w:space="0"/>
          <w:bottom w:val="none" w:color="000000" w:sz="0" w:space="0"/>
          <w:right w:val="none" w:color="000000" w:sz="0" w:space="0"/>
        </w:pBdr>
      </w:pPr>
      <w:r>
        <w:rPr>
          <w:rFonts w:ascii="宋体" w:hAnsi="宋体" w:cs="宋体"/>
          <w:b/>
          <w:sz w:val="36"/>
        </w:rPr>
      </w:r>
      <w:r/>
    </w:p>
    <w:p>
      <w:pPr>
        <w:jc w:val="center"/>
        <w:spacing w:line="85" w:lineRule="atLeast"/>
        <w:rPr>
          <w:rFonts w:ascii="宋体" w:hAnsi="宋体" w:cs="宋体"/>
          <w:b/>
          <w:sz w:val="36"/>
        </w:rPr>
        <w:pBdr>
          <w:top w:val="none" w:color="000000" w:sz="0" w:space="0"/>
          <w:left w:val="none" w:color="000000" w:sz="0" w:space="0"/>
          <w:bottom w:val="none" w:color="000000" w:sz="0" w:space="0"/>
          <w:right w:val="none" w:color="000000" w:sz="0" w:space="0"/>
        </w:pBdr>
      </w:pPr>
      <w:r>
        <w:rPr>
          <w:rFonts w:ascii="宋体" w:hAnsi="宋体" w:cs="宋体"/>
          <w:b/>
          <w:sz w:val="36"/>
        </w:rPr>
      </w:r>
      <w:r/>
    </w:p>
    <w:p>
      <w:pPr>
        <w:jc w:val="center"/>
        <w:spacing w:line="85" w:lineRule="atLeast"/>
        <w:rPr>
          <w:rFonts w:ascii="宋体" w:hAnsi="宋体" w:cs="宋体"/>
          <w:b/>
          <w:sz w:val="36"/>
        </w:rPr>
        <w:pBdr>
          <w:top w:val="none" w:color="000000" w:sz="0" w:space="0"/>
          <w:left w:val="none" w:color="000000" w:sz="0" w:space="0"/>
          <w:bottom w:val="none" w:color="000000" w:sz="0" w:space="0"/>
          <w:right w:val="none" w:color="000000" w:sz="0" w:space="0"/>
        </w:pBdr>
      </w:pPr>
      <w:r>
        <w:rPr>
          <w:rFonts w:ascii="宋体" w:hAnsi="宋体" w:cs="宋体"/>
          <w:b/>
          <w:sz w:val="36"/>
        </w:rPr>
      </w:r>
      <w:r/>
    </w:p>
    <w:p>
      <w:pPr>
        <w:jc w:val="center"/>
        <w:spacing w:line="85" w:lineRule="atLeast"/>
        <w:rPr>
          <w:rFonts w:ascii="宋体" w:hAnsi="宋体" w:cs="宋体"/>
          <w:b/>
          <w:sz w:val="36"/>
        </w:rPr>
        <w:pBdr>
          <w:top w:val="none" w:color="000000" w:sz="0" w:space="0"/>
          <w:left w:val="none" w:color="000000" w:sz="0" w:space="0"/>
          <w:bottom w:val="none" w:color="000000" w:sz="0" w:space="0"/>
          <w:right w:val="none" w:color="000000" w:sz="0" w:space="0"/>
        </w:pBdr>
      </w:pPr>
      <w:r>
        <w:rPr>
          <w:rFonts w:ascii="宋体" w:hAnsi="宋体" w:cs="宋体"/>
          <w:b/>
          <w:sz w:val="36"/>
        </w:rPr>
      </w:r>
      <w:r/>
    </w:p>
    <w:p>
      <w:pPr>
        <w:jc w:val="center"/>
        <w:spacing w:line="85" w:lineRule="atLeast"/>
        <w:rPr>
          <w:rFonts w:ascii="宋体" w:hAnsi="宋体" w:cs="宋体"/>
          <w:b/>
          <w:sz w:val="36"/>
        </w:rPr>
        <w:pBdr>
          <w:top w:val="none" w:color="000000" w:sz="0" w:space="0"/>
          <w:left w:val="none" w:color="000000" w:sz="0" w:space="0"/>
          <w:bottom w:val="none" w:color="000000" w:sz="0" w:space="0"/>
          <w:right w:val="none" w:color="000000" w:sz="0" w:space="0"/>
        </w:pBdr>
      </w:pPr>
      <w:r>
        <w:rPr>
          <w:rFonts w:ascii="宋体" w:hAnsi="宋体" w:cs="宋体"/>
          <w:b/>
          <w:sz w:val="36"/>
        </w:rPr>
      </w:r>
      <w:r/>
    </w:p>
    <w:p>
      <w:pPr>
        <w:jc w:val="cente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6"/>
        </w:rPr>
        <w:t xml:space="preserve">目 录</w:t>
      </w:r>
      <w:r/>
    </w:p>
    <w:p>
      <w:pPr>
        <w:spacing w:line="85" w:lineRule="atLeast"/>
        <w:rPr>
          <w:rFonts w:ascii="宋体" w:hAnsi="宋体" w:cs="宋体"/>
          <w:sz w:val="30"/>
        </w:rPr>
        <w:pBdr>
          <w:top w:val="none" w:color="000000" w:sz="0" w:space="0"/>
          <w:left w:val="none" w:color="000000" w:sz="0" w:space="0"/>
          <w:bottom w:val="none" w:color="000000" w:sz="0" w:space="0"/>
          <w:right w:val="none" w:color="000000" w:sz="0" w:space="0"/>
        </w:pBdr>
      </w:pPr>
      <w:r>
        <w:rPr>
          <w:rFonts w:ascii="宋体" w:hAnsi="宋体" w:cs="宋体"/>
          <w:sz w:val="30"/>
        </w:rPr>
      </w:r>
      <w:r/>
    </w:p>
    <w:p>
      <w:pPr>
        <w:spacing w:line="52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第一部分：招标公告</w:t>
      </w:r>
      <w:r/>
    </w:p>
    <w:p>
      <w:pPr>
        <w:spacing w:line="52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第二部分：投标人须知</w:t>
      </w:r>
      <w:r/>
    </w:p>
    <w:p>
      <w:pPr>
        <w:spacing w:line="52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第三部分：项目需求</w:t>
      </w:r>
      <w:r/>
    </w:p>
    <w:p>
      <w:pPr>
        <w:spacing w:line="52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第四部分：投标文件格式</w:t>
      </w:r>
      <w:r/>
    </w:p>
    <w:p>
      <w:pPr>
        <w:spacing w:line="52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第五部分：评标方法与评标标准</w:t>
      </w:r>
      <w:r/>
    </w:p>
    <w:p>
      <w:pPr>
        <w:spacing w:line="52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第六部分：合同主要条款</w:t>
      </w:r>
      <w:r/>
    </w:p>
    <w:p>
      <w:pPr>
        <w:spacing w:before="240" w:after="240" w:line="520" w:lineRule="exac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spacing w:before="240" w:after="240"/>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rPr>
          <w:rFonts w:ascii="宋体" w:hAnsi="宋体" w:cs="宋体"/>
          <w:b/>
          <w:sz w:val="44"/>
        </w:rPr>
      </w:pPr>
      <w:r>
        <w:rPr>
          <w:rFonts w:hint="eastAsia" w:ascii="宋体" w:hAnsi="宋体" w:cs="宋体"/>
        </w:rPr>
        <w:br w:type="page" w:clear="all"/>
      </w:r>
      <w:r>
        <w:rPr>
          <w:rFonts w:ascii="宋体" w:hAnsi="宋体" w:cs="宋体"/>
          <w:b/>
          <w:sz w:val="44"/>
        </w:rPr>
        <w:t xml:space="preserve">第一部分招标公告</w:t>
      </w:r>
      <w:r/>
    </w:p>
    <w:tbl>
      <w:tblPr>
        <w:tblStyle w:val="800"/>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821"/>
              <w:jc w:val="left"/>
              <w:spacing w:after="0" w:line="15" w:lineRule="atLeas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项目概况</w:t>
            </w:r>
            <w:r/>
          </w:p>
          <w:p>
            <w:pPr>
              <w:pStyle w:val="821"/>
              <w:jc w:val="left"/>
              <w:spacing w:after="0" w:line="15" w:lineRule="atLeast"/>
              <w:widowControl/>
              <w:rPr>
                <w:rFonts w:ascii="宋体" w:hAnsi="宋体" w:eastAsia="宋体" w:cs="宋体"/>
                <w:sz w:val="24"/>
                <w:szCs w:val="24"/>
                <w:lang w:eastAsia="zh-CN"/>
              </w:rPr>
            </w:pPr>
            <w:r>
              <w:rPr>
                <w:rFonts w:hint="eastAsia" w:ascii="宋体" w:hAnsi="宋体" w:eastAsia="宋体" w:cs="宋体"/>
                <w:sz w:val="24"/>
                <w:szCs w:val="24"/>
                <w:lang w:eastAsia="zh-CN"/>
              </w:rPr>
              <w:t xml:space="preserve">城厢镇实验小学家具采购JSZC-320585-JZCG-G2025-0170招标项目的潜在投标人应在“苏采云”系统（网址：http://jszfcg.jsczt.cn/）自行下载 获取招标文件，并</w:t>
            </w:r>
            <w:r>
              <w:rPr>
                <w:rFonts w:hint="eastAsia" w:ascii="宋体" w:hAnsi="宋体" w:eastAsia="宋体" w:cs="宋体"/>
                <w:sz w:val="24"/>
                <w:szCs w:val="24"/>
                <w:highlight w:val="none"/>
                <w:lang w:eastAsia="zh-CN"/>
              </w:rPr>
              <w:t xml:space="preserve">于2026-02-03 09:30 （北京时间）前递交投标文件。</w:t>
            </w:r>
            <w:r/>
          </w:p>
        </w:tc>
      </w:tr>
    </w:tbl>
    <w:p>
      <w:pPr>
        <w:pStyle w:val="791"/>
        <w:keepLines w:val="0"/>
        <w:keepNext w:val="0"/>
        <w:spacing w:before="0" w:after="0" w:line="500" w:lineRule="exact"/>
        <w:shd w:val="clear" w:color="auto" w:fill="ffffff"/>
        <w:rPr>
          <w:rFonts w:ascii="宋体" w:hAnsi="宋体" w:eastAsia="宋体" w:cs="宋体"/>
        </w:rPr>
      </w:pPr>
      <w:r>
        <w:rPr>
          <w:rStyle w:val="826"/>
          <w:rFonts w:hint="eastAsia" w:ascii="宋体" w:hAnsi="宋体" w:eastAsia="宋体" w:cs="宋体"/>
          <w:sz w:val="28"/>
          <w:szCs w:val="28"/>
          <w:shd w:val="clear" w:color="auto" w:fill="ffffff"/>
        </w:rPr>
        <w:t xml:space="preserve">一、项目基本情况</w:t>
      </w:r>
      <w:r/>
    </w:p>
    <w:p>
      <w:pPr>
        <w:pStyle w:val="821"/>
        <w:ind w:firstLine="480"/>
        <w:spacing w:after="0" w:line="500" w:lineRule="exact"/>
        <w:shd w:val="clear" w:color="auto" w:fill="ffffff"/>
        <w:widowControl/>
        <w:rPr>
          <w:rFonts w:ascii="宋体" w:hAnsi="宋体" w:eastAsia="宋体" w:cs="宋体"/>
          <w:sz w:val="24"/>
          <w:szCs w:val="24"/>
          <w:highlight w:val="none"/>
          <w:lang w:eastAsia="zh-CN"/>
        </w:rPr>
      </w:pPr>
      <w:r>
        <w:rPr>
          <w:rFonts w:hint="eastAsia" w:ascii="宋体" w:hAnsi="宋体" w:eastAsia="宋体" w:cs="宋体"/>
          <w:sz w:val="24"/>
          <w:szCs w:val="24"/>
          <w:shd w:val="clear" w:color="auto" w:fill="ffffff"/>
          <w:lang w:eastAsia="zh-CN"/>
        </w:rPr>
        <w:t xml:space="preserve">项目编号</w:t>
      </w:r>
      <w:r>
        <w:rPr>
          <w:rFonts w:hint="eastAsia" w:ascii="宋体" w:hAnsi="宋体" w:eastAsia="宋体" w:cs="宋体"/>
          <w:sz w:val="24"/>
          <w:szCs w:val="24"/>
          <w:highlight w:val="none"/>
          <w:shd w:val="clear" w:color="auto" w:fill="ffffff"/>
          <w:lang w:eastAsia="zh-CN"/>
        </w:rPr>
        <w:t xml:space="preserve">：</w:t>
      </w:r>
      <w:r>
        <w:rPr>
          <w:rFonts w:hint="eastAsia" w:ascii="宋体" w:hAnsi="宋体" w:eastAsia="宋体" w:cs="宋体"/>
          <w:sz w:val="24"/>
          <w:szCs w:val="24"/>
          <w:highlight w:val="none"/>
          <w:lang w:eastAsia="zh-CN"/>
        </w:rPr>
        <w:t xml:space="preserve">JSZC-320585-JZCG-G2025-0170</w:t>
      </w:r>
      <w:r/>
    </w:p>
    <w:p>
      <w:pPr>
        <w:pStyle w:val="821"/>
        <w:ind w:firstLine="480"/>
        <w:spacing w:after="0" w:line="500" w:lineRule="exact"/>
        <w:shd w:val="clear" w:color="auto" w:fill="ffffff"/>
        <w:widowControl/>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项目名称：</w:t>
      </w:r>
      <w:r>
        <w:rPr>
          <w:rFonts w:hint="eastAsia" w:ascii="宋体" w:hAnsi="宋体" w:eastAsia="宋体" w:cs="宋体"/>
          <w:sz w:val="24"/>
          <w:szCs w:val="24"/>
          <w:lang w:eastAsia="zh-CN"/>
        </w:rPr>
        <w:t xml:space="preserve">城厢镇实验小学家具采购</w:t>
      </w:r>
      <w:r/>
    </w:p>
    <w:p>
      <w:pPr>
        <w:pStyle w:val="821"/>
        <w:ind w:firstLine="480"/>
        <w:spacing w:after="0" w:line="500" w:lineRule="exact"/>
        <w:shd w:val="clear" w:color="auto" w:fill="ffffff"/>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预算金额：</w:t>
      </w:r>
      <w:r>
        <w:rPr>
          <w:rFonts w:hint="eastAsia" w:ascii="宋体" w:hAnsi="宋体" w:eastAsia="宋体" w:cs="宋体"/>
          <w:sz w:val="24"/>
          <w:szCs w:val="24"/>
          <w:shd w:val="clear" w:color="auto" w:fill="ffffff"/>
          <w:lang w:val="en-US" w:eastAsia="zh-CN"/>
        </w:rPr>
        <w:t xml:space="preserve">510</w:t>
      </w:r>
      <w:r>
        <w:rPr>
          <w:rFonts w:hint="eastAsia" w:ascii="宋体" w:hAnsi="宋体" w:eastAsia="宋体" w:cs="宋体"/>
          <w:sz w:val="24"/>
          <w:szCs w:val="24"/>
          <w:shd w:val="clear" w:color="auto" w:fill="ffffff"/>
          <w:lang w:eastAsia="zh-CN"/>
        </w:rPr>
        <w:t xml:space="preserve">万元；</w:t>
      </w:r>
      <w:r/>
    </w:p>
    <w:p>
      <w:pPr>
        <w:pStyle w:val="821"/>
        <w:ind w:firstLine="480"/>
        <w:spacing w:after="0" w:line="500" w:lineRule="exact"/>
        <w:shd w:val="clear" w:color="auto" w:fill="ffffff"/>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最高限价（如有）：</w:t>
      </w:r>
      <w:r>
        <w:rPr>
          <w:rFonts w:hint="eastAsia" w:ascii="宋体" w:hAnsi="宋体" w:eastAsia="宋体" w:cs="宋体"/>
          <w:sz w:val="24"/>
          <w:szCs w:val="24"/>
          <w:shd w:val="clear" w:color="auto" w:fill="ffffff"/>
          <w:lang w:val="en-US" w:eastAsia="zh-CN"/>
        </w:rPr>
        <w:t xml:space="preserve">无</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采购方式：公开招标 </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采购需求：</w:t>
      </w:r>
      <w:r/>
    </w:p>
    <w:p>
      <w:pPr>
        <w:pStyle w:val="821"/>
        <w:numPr>
          <w:ilvl w:val="0"/>
          <w:numId w:val="0"/>
        </w:numPr>
        <w:ind w:firstLine="480"/>
        <w:spacing w:after="0" w:line="15" w:lineRule="atLeast"/>
        <w:widowControl/>
        <w:rPr>
          <w:rFonts w:ascii="仿宋" w:hAnsi="仿宋" w:eastAsia="仿宋" w:cs="仿宋"/>
          <w:sz w:val="24"/>
          <w:szCs w:val="24"/>
          <w:highlight w:val="none"/>
          <w:shd w:val="clear" w:color="auto" w:fill="ffffff"/>
          <w:lang w:eastAsia="zh-CN"/>
        </w:rPr>
      </w:pPr>
      <w:r>
        <w:rPr>
          <w:rFonts w:ascii="仿宋" w:hAnsi="仿宋" w:eastAsia="仿宋" w:cs="仿宋"/>
          <w:sz w:val="24"/>
          <w:szCs w:val="24"/>
          <w:highlight w:val="none"/>
          <w:shd w:val="clear" w:color="auto" w:fill="ffffff"/>
          <w:lang w:eastAsia="zh-CN"/>
        </w:rPr>
        <w:t xml:space="preserve">产品清单：</w:t>
      </w:r>
      <w:r/>
    </w:p>
    <w:tbl>
      <w:tblPr>
        <w:tblStyle w:val="800"/>
        <w:tblW w:w="8883" w:type="dxa"/>
        <w:tblInd w:w="135" w:type="dxa"/>
        <w:tblLayout w:type="fixed"/>
        <w:tblCellMar>
          <w:left w:w="108" w:type="dxa"/>
          <w:top w:w="0" w:type="dxa"/>
          <w:right w:w="108" w:type="dxa"/>
          <w:bottom w:w="0" w:type="dxa"/>
        </w:tblCellMar>
        <w:tblLook w:val="04A0" w:firstRow="1" w:lastRow="0" w:firstColumn="1" w:lastColumn="0" w:noHBand="0" w:noVBand="1"/>
      </w:tblPr>
      <w:tblGrid>
        <w:gridCol w:w="716"/>
        <w:gridCol w:w="2896"/>
        <w:gridCol w:w="2596"/>
        <w:gridCol w:w="877"/>
        <w:gridCol w:w="819"/>
        <w:gridCol w:w="979"/>
      </w:tblGrid>
      <w:tr>
        <w:trPr>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规格</w:t>
            </w:r>
            <w:r>
              <w:rPr>
                <w:rFonts w:hint="eastAsia" w:ascii="宋体" w:hAnsi="宋体" w:cs="宋体"/>
                <w:b/>
                <w:bCs/>
                <w:sz w:val="24"/>
                <w:lang w:val="en-US" w:eastAsia="zh-CN" w:bidi="ar"/>
              </w:rPr>
              <w:t xml:space="preserve"> </w:t>
            </w:r>
            <w:r>
              <w:rPr>
                <w:rFonts w:hint="eastAsia" w:ascii="宋体" w:hAnsi="宋体" w:eastAsia="宋体" w:cs="宋体"/>
                <w:b/>
                <w:bCs/>
                <w:sz w:val="24"/>
                <w:lang w:bidi="ar"/>
              </w:rPr>
              <w:t xml:space="preserve">mm</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widowControl/>
              <w:rPr>
                <w:rFonts w:hint="eastAsia" w:ascii="宋体" w:hAnsi="宋体" w:eastAsia="宋体" w:cs="宋体"/>
                <w:b/>
                <w:bCs/>
                <w:sz w:val="24"/>
              </w:rPr>
            </w:pPr>
            <w:r>
              <w:rPr>
                <w:rFonts w:hint="eastAsia" w:ascii="宋体" w:hAnsi="宋体" w:eastAsia="宋体" w:cs="宋体"/>
                <w:b/>
                <w:bCs/>
                <w:sz w:val="24"/>
                <w:lang w:bidi="ar"/>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长</w:t>
            </w:r>
            <w:r>
              <w:rPr>
                <w:rFonts w:hint="eastAsia" w:ascii="宋体" w:hAnsi="宋体" w:eastAsia="宋体" w:cs="宋体"/>
                <w:i w:val="0"/>
                <w:iCs w:val="0"/>
                <w:color w:val="000000"/>
                <w:sz w:val="18"/>
                <w:szCs w:val="18"/>
                <w:u w:val="none"/>
                <w:lang w:val="en-US" w:eastAsia="zh-CN" w:bidi="ar"/>
              </w:rPr>
              <w:t xml:space="preserve">1400*</w:t>
            </w:r>
            <w:r>
              <w:rPr>
                <w:rFonts w:hint="eastAsia" w:ascii="宋体" w:hAnsi="宋体" w:cs="宋体"/>
                <w:i w:val="0"/>
                <w:iCs w:val="0"/>
                <w:color w:val="000000"/>
                <w:sz w:val="18"/>
                <w:szCs w:val="18"/>
                <w:u w:val="none"/>
                <w:lang w:val="en-US" w:eastAsia="zh-CN" w:bidi="ar"/>
              </w:rPr>
              <w:t xml:space="preserve">宽</w:t>
            </w: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cs="宋体"/>
                <w:i w:val="0"/>
                <w:iCs w:val="0"/>
                <w:color w:val="000000"/>
                <w:sz w:val="18"/>
                <w:szCs w:val="18"/>
                <w:u w:val="none"/>
                <w:lang w:val="en-US" w:eastAsia="zh-CN" w:bidi="ar"/>
              </w:rPr>
              <w:t xml:space="preserve">高</w:t>
            </w:r>
            <w:r>
              <w:rPr>
                <w:rFonts w:hint="eastAsia" w:ascii="宋体" w:hAnsi="宋体" w:eastAsia="宋体" w:cs="宋体"/>
                <w:i w:val="0"/>
                <w:iCs w:val="0"/>
                <w:color w:val="000000"/>
                <w:sz w:val="18"/>
                <w:szCs w:val="18"/>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长</w:t>
            </w:r>
            <w:r>
              <w:rPr>
                <w:rFonts w:hint="eastAsia" w:ascii="宋体" w:hAnsi="宋体" w:eastAsia="宋体" w:cs="宋体"/>
                <w:i w:val="0"/>
                <w:iCs w:val="0"/>
                <w:color w:val="000000"/>
                <w:sz w:val="18"/>
                <w:szCs w:val="18"/>
                <w:u w:val="none"/>
                <w:lang w:val="en-US" w:eastAsia="zh-CN" w:bidi="ar"/>
              </w:rPr>
              <w:t xml:space="preserve">420*</w:t>
            </w:r>
            <w:r>
              <w:rPr>
                <w:rFonts w:hint="eastAsia" w:ascii="宋体" w:hAnsi="宋体" w:cs="宋体"/>
                <w:i w:val="0"/>
                <w:iCs w:val="0"/>
                <w:color w:val="000000"/>
                <w:sz w:val="18"/>
                <w:szCs w:val="18"/>
                <w:u w:val="none"/>
                <w:lang w:val="en-US" w:eastAsia="zh-CN" w:bidi="ar"/>
              </w:rPr>
              <w:t xml:space="preserve">宽</w:t>
            </w:r>
            <w:r>
              <w:rPr>
                <w:rFonts w:hint="eastAsia" w:ascii="宋体" w:hAnsi="宋体" w:eastAsia="宋体" w:cs="宋体"/>
                <w:i w:val="0"/>
                <w:iCs w:val="0"/>
                <w:color w:val="000000"/>
                <w:sz w:val="18"/>
                <w:szCs w:val="18"/>
                <w:u w:val="none"/>
                <w:lang w:val="en-US" w:eastAsia="zh-CN" w:bidi="ar"/>
              </w:rPr>
              <w:t xml:space="preserve">350*</w:t>
            </w:r>
            <w:r>
              <w:rPr>
                <w:rFonts w:hint="eastAsia" w:ascii="宋体" w:hAnsi="宋体" w:cs="宋体"/>
                <w:i w:val="0"/>
                <w:iCs w:val="0"/>
                <w:color w:val="000000"/>
                <w:sz w:val="18"/>
                <w:szCs w:val="18"/>
                <w:u w:val="none"/>
                <w:lang w:val="en-US" w:eastAsia="zh-CN" w:bidi="ar"/>
              </w:rPr>
              <w:t xml:space="preserve">高</w:t>
            </w:r>
            <w:r>
              <w:rPr>
                <w:rFonts w:hint="eastAsia" w:ascii="宋体" w:hAnsi="宋体" w:eastAsia="宋体" w:cs="宋体"/>
                <w:i w:val="0"/>
                <w:iCs w:val="0"/>
                <w:color w:val="000000"/>
                <w:sz w:val="18"/>
                <w:szCs w:val="18"/>
                <w:u w:val="none"/>
                <w:lang w:val="en-US" w:eastAsia="zh-CN" w:bidi="ar"/>
              </w:rPr>
              <w:t xml:space="preserve">780（坐高450）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不锈钢连体餐桌椅</w:t>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总尺寸：</w:t>
            </w:r>
            <w:r>
              <w:rPr>
                <w:rFonts w:hint="eastAsia" w:ascii="宋体" w:hAnsi="宋体" w:cs="宋体"/>
                <w:i w:val="0"/>
                <w:iCs w:val="0"/>
                <w:color w:val="000000"/>
                <w:sz w:val="18"/>
                <w:szCs w:val="18"/>
                <w:u w:val="none"/>
                <w:lang w:val="en-US" w:eastAsia="zh-CN" w:bidi="ar"/>
              </w:rPr>
              <w:t xml:space="preserve">长</w:t>
            </w: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cs="宋体"/>
                <w:i w:val="0"/>
                <w:iCs w:val="0"/>
                <w:color w:val="000000"/>
                <w:sz w:val="18"/>
                <w:szCs w:val="18"/>
                <w:u w:val="none"/>
                <w:lang w:val="en-US" w:eastAsia="zh-CN" w:bidi="ar"/>
              </w:rPr>
              <w:t xml:space="preserve">宽</w:t>
            </w:r>
            <w:r>
              <w:rPr>
                <w:rFonts w:hint="eastAsia" w:ascii="宋体" w:hAnsi="宋体" w:eastAsia="宋体" w:cs="宋体"/>
                <w:i w:val="0"/>
                <w:iCs w:val="0"/>
                <w:color w:val="000000"/>
                <w:sz w:val="18"/>
                <w:szCs w:val="18"/>
                <w:u w:val="none"/>
                <w:lang w:val="en-US" w:eastAsia="zh-CN" w:bidi="ar"/>
              </w:rPr>
              <w:t xml:space="preserve">1500*</w:t>
            </w:r>
            <w:r>
              <w:rPr>
                <w:rFonts w:hint="eastAsia" w:ascii="宋体" w:hAnsi="宋体" w:cs="宋体"/>
                <w:i w:val="0"/>
                <w:iCs w:val="0"/>
                <w:color w:val="000000"/>
                <w:sz w:val="18"/>
                <w:szCs w:val="18"/>
                <w:u w:val="none"/>
                <w:lang w:val="en-US" w:eastAsia="zh-CN" w:bidi="ar"/>
              </w:rPr>
              <w:t xml:space="preserve">高</w:t>
            </w:r>
            <w:r>
              <w:rPr>
                <w:rFonts w:hint="eastAsia" w:ascii="宋体" w:hAnsi="宋体" w:eastAsia="宋体" w:cs="宋体"/>
                <w:i w:val="0"/>
                <w:iCs w:val="0"/>
                <w:color w:val="000000"/>
                <w:sz w:val="18"/>
                <w:szCs w:val="18"/>
                <w:u w:val="none"/>
                <w:lang w:val="en-US" w:eastAsia="zh-CN" w:bidi="ar"/>
              </w:rPr>
              <w:t xml:space="preserve">750桌面尺寸：</w:t>
            </w:r>
            <w:r>
              <w:rPr>
                <w:rFonts w:hint="eastAsia" w:ascii="宋体" w:hAnsi="宋体" w:cs="宋体"/>
                <w:i w:val="0"/>
                <w:iCs w:val="0"/>
                <w:color w:val="000000"/>
                <w:sz w:val="18"/>
                <w:szCs w:val="18"/>
                <w:u w:val="none"/>
                <w:lang w:val="en-US" w:eastAsia="zh-CN" w:bidi="ar"/>
              </w:rPr>
              <w:t xml:space="preserve">长</w:t>
            </w:r>
            <w:r>
              <w:rPr>
                <w:rFonts w:hint="eastAsia" w:ascii="宋体" w:hAnsi="宋体" w:eastAsia="宋体" w:cs="宋体"/>
                <w:i w:val="0"/>
                <w:iCs w:val="0"/>
                <w:color w:val="000000"/>
                <w:sz w:val="18"/>
                <w:szCs w:val="18"/>
                <w:u w:val="none"/>
                <w:lang w:val="en-US" w:eastAsia="zh-CN" w:bidi="ar"/>
              </w:rPr>
              <w:t xml:space="preserve">2000*</w:t>
            </w:r>
            <w:r>
              <w:rPr>
                <w:rFonts w:hint="eastAsia" w:ascii="宋体" w:hAnsi="宋体" w:cs="宋体"/>
                <w:i w:val="0"/>
                <w:iCs w:val="0"/>
                <w:color w:val="000000"/>
                <w:sz w:val="18"/>
                <w:szCs w:val="18"/>
                <w:u w:val="none"/>
                <w:lang w:val="en-US" w:eastAsia="zh-CN" w:bidi="ar"/>
              </w:rPr>
              <w:t xml:space="preserve">宽</w:t>
            </w:r>
            <w:r>
              <w:rPr>
                <w:rFonts w:hint="eastAsia" w:ascii="宋体" w:hAnsi="宋体" w:eastAsia="宋体" w:cs="宋体"/>
                <w:i w:val="0"/>
                <w:iCs w:val="0"/>
                <w:color w:val="000000"/>
                <w:sz w:val="18"/>
                <w:szCs w:val="18"/>
                <w:u w:val="none"/>
                <w:lang w:val="en-US" w:eastAsia="zh-CN" w:bidi="ar"/>
              </w:rPr>
              <w:t xml:space="preserve">700*</w:t>
            </w:r>
            <w:r>
              <w:rPr>
                <w:rFonts w:hint="eastAsia" w:ascii="宋体" w:hAnsi="宋体" w:cs="宋体"/>
                <w:i w:val="0"/>
                <w:iCs w:val="0"/>
                <w:color w:val="000000"/>
                <w:sz w:val="18"/>
                <w:szCs w:val="18"/>
                <w:u w:val="none"/>
                <w:lang w:val="en-US" w:eastAsia="zh-CN" w:bidi="ar"/>
              </w:rPr>
              <w:t xml:space="preserve">高</w:t>
            </w: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135 </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长</w:t>
            </w:r>
            <w:r>
              <w:rPr>
                <w:rFonts w:hint="eastAsia" w:ascii="宋体" w:hAnsi="宋体" w:eastAsia="宋体" w:cs="宋体"/>
                <w:i w:val="0"/>
                <w:iCs w:val="0"/>
                <w:color w:val="000000"/>
                <w:sz w:val="18"/>
                <w:szCs w:val="18"/>
                <w:u w:val="none"/>
                <w:lang w:val="en-US" w:eastAsia="zh-CN" w:bidi="ar"/>
              </w:rPr>
              <w:t xml:space="preserve">1900*</w:t>
            </w:r>
            <w:r>
              <w:rPr>
                <w:rFonts w:hint="eastAsia" w:ascii="宋体" w:hAnsi="宋体" w:cs="宋体"/>
                <w:i w:val="0"/>
                <w:iCs w:val="0"/>
                <w:color w:val="000000"/>
                <w:sz w:val="18"/>
                <w:szCs w:val="18"/>
                <w:u w:val="none"/>
                <w:lang w:val="en-US" w:eastAsia="zh-CN" w:bidi="ar"/>
              </w:rPr>
              <w:t xml:space="preserve">宽</w:t>
            </w:r>
            <w:r>
              <w:rPr>
                <w:rFonts w:hint="eastAsia" w:ascii="宋体" w:hAnsi="宋体" w:eastAsia="宋体" w:cs="宋体"/>
                <w:i w:val="0"/>
                <w:iCs w:val="0"/>
                <w:color w:val="000000"/>
                <w:sz w:val="18"/>
                <w:szCs w:val="18"/>
                <w:u w:val="none"/>
                <w:lang w:val="en-US" w:eastAsia="zh-CN" w:bidi="ar"/>
              </w:rPr>
              <w:t xml:space="preserve">600*</w:t>
            </w:r>
            <w:r>
              <w:rPr>
                <w:rFonts w:hint="eastAsia" w:ascii="宋体" w:hAnsi="宋体" w:cs="宋体"/>
                <w:i w:val="0"/>
                <w:iCs w:val="0"/>
                <w:color w:val="000000"/>
                <w:sz w:val="18"/>
                <w:szCs w:val="18"/>
                <w:u w:val="none"/>
                <w:lang w:val="en-US" w:eastAsia="zh-CN" w:bidi="ar"/>
              </w:rPr>
              <w:t xml:space="preserve">高</w:t>
            </w:r>
            <w:r>
              <w:rPr>
                <w:rFonts w:hint="eastAsia" w:ascii="宋体" w:hAnsi="宋体" w:eastAsia="宋体" w:cs="宋体"/>
                <w:i w:val="0"/>
                <w:iCs w:val="0"/>
                <w:color w:val="000000"/>
                <w:sz w:val="18"/>
                <w:szCs w:val="18"/>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259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长</w:t>
            </w:r>
            <w:r>
              <w:rPr>
                <w:rFonts w:hint="eastAsia" w:ascii="宋体" w:hAnsi="宋体" w:eastAsia="宋体" w:cs="宋体"/>
                <w:i w:val="0"/>
                <w:iCs w:val="0"/>
                <w:color w:val="000000"/>
                <w:sz w:val="18"/>
                <w:szCs w:val="18"/>
                <w:u w:val="none"/>
                <w:lang w:val="en-US" w:eastAsia="zh-CN" w:bidi="ar"/>
              </w:rPr>
              <w:t xml:space="preserve">450*</w:t>
            </w:r>
            <w:r>
              <w:rPr>
                <w:rFonts w:hint="eastAsia" w:ascii="宋体" w:hAnsi="宋体" w:cs="宋体"/>
                <w:i w:val="0"/>
                <w:iCs w:val="0"/>
                <w:color w:val="000000"/>
                <w:sz w:val="18"/>
                <w:szCs w:val="18"/>
                <w:u w:val="none"/>
                <w:lang w:val="en-US" w:eastAsia="zh-CN" w:bidi="ar"/>
              </w:rPr>
              <w:t xml:space="preserve">宽</w:t>
            </w:r>
            <w:r>
              <w:rPr>
                <w:rFonts w:hint="eastAsia" w:ascii="宋体" w:hAnsi="宋体" w:eastAsia="宋体" w:cs="宋体"/>
                <w:i w:val="0"/>
                <w:iCs w:val="0"/>
                <w:color w:val="000000"/>
                <w:sz w:val="18"/>
                <w:szCs w:val="18"/>
                <w:u w:val="none"/>
                <w:lang w:val="en-US" w:eastAsia="zh-CN" w:bidi="ar"/>
              </w:rPr>
              <w:t xml:space="preserve">420*</w:t>
            </w:r>
            <w:r>
              <w:rPr>
                <w:rFonts w:hint="eastAsia" w:ascii="宋体" w:hAnsi="宋体" w:cs="宋体"/>
                <w:i w:val="0"/>
                <w:iCs w:val="0"/>
                <w:color w:val="000000"/>
                <w:sz w:val="18"/>
                <w:szCs w:val="18"/>
                <w:u w:val="none"/>
                <w:lang w:val="en-US" w:eastAsia="zh-CN" w:bidi="ar"/>
              </w:rPr>
              <w:t xml:space="preserve">高</w:t>
            </w:r>
            <w:r>
              <w:rPr>
                <w:rFonts w:hint="eastAsia" w:ascii="宋体" w:hAnsi="宋体" w:eastAsia="宋体" w:cs="宋体"/>
                <w:i w:val="0"/>
                <w:iCs w:val="0"/>
                <w:color w:val="000000"/>
                <w:sz w:val="18"/>
                <w:szCs w:val="18"/>
                <w:u w:val="none"/>
                <w:lang w:val="en-US" w:eastAsia="zh-CN"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0"/>
                <w:szCs w:val="20"/>
                <w:u w:val="none"/>
                <w:lang w:val="en-US" w:eastAsia="zh-CN" w:bidi="ar"/>
              </w:rPr>
              <w:suppressLineNumbers w:val="0"/>
            </w:pPr>
            <w:r>
              <w:rPr>
                <w:rFonts w:hint="eastAsia" w:ascii="宋体" w:hAnsi="宋体" w:eastAsia="宋体" w:cs="宋体"/>
                <w:b w:val="0"/>
                <w:bCs w:val="0"/>
                <w:i w:val="0"/>
                <w:iCs w:val="0"/>
                <w:color w:val="000000"/>
                <w:sz w:val="20"/>
                <w:szCs w:val="20"/>
                <w:u w:val="none"/>
                <w:lang w:val="en-US" w:eastAsia="zh-CN" w:bidi="ar"/>
              </w:rPr>
              <w:t xml:space="preserve">工业</w:t>
            </w:r>
            <w:r/>
          </w:p>
        </w:tc>
      </w:tr>
      <w:tr>
        <w:trPr>
          <w:trHeight w:val="90"/>
        </w:trPr>
        <w:tc>
          <w:tcPr>
            <w:gridSpan w:val="6"/>
            <w:tcBorders>
              <w:top w:val="single" w:color="000000" w:sz="4" w:space="0"/>
              <w:left w:val="single" w:color="000000" w:sz="4" w:space="0"/>
              <w:bottom w:val="single" w:color="000000" w:sz="4" w:space="0"/>
              <w:right w:val="single" w:color="000000" w:sz="4" w:space="0"/>
            </w:tcBorders>
            <w:tcW w:w="8883" w:type="dxa"/>
            <w:vAlign w:val="center"/>
            <w:textDirection w:val="lrTb"/>
            <w:noWrap/>
          </w:tcPr>
          <w:p>
            <w:pPr>
              <w:jc w:val="center"/>
              <w:widowControl/>
              <w:rPr>
                <w:rFonts w:hint="eastAsia" w:ascii="宋体" w:hAnsi="宋体" w:eastAsia="宋体" w:cs="宋体"/>
                <w:sz w:val="24"/>
              </w:rPr>
            </w:pPr>
            <w:r>
              <w:rPr>
                <w:rFonts w:hint="eastAsia" w:ascii="宋体" w:hAnsi="宋体" w:eastAsia="宋体" w:cs="宋体"/>
                <w:sz w:val="24"/>
              </w:rPr>
              <w:t xml:space="preserve">......</w:t>
            </w:r>
            <w:r/>
          </w:p>
        </w:tc>
      </w:tr>
    </w:tbl>
    <w:p>
      <w:pPr>
        <w:pStyle w:val="821"/>
        <w:ind w:firstLine="480"/>
        <w:spacing w:after="0" w:line="500" w:lineRule="exact"/>
        <w:widowControl/>
        <w:rPr>
          <w:rFonts w:ascii="宋体" w:hAnsi="宋体" w:eastAsia="宋体" w:cs="宋体"/>
          <w:sz w:val="24"/>
          <w:szCs w:val="24"/>
          <w:shd w:val="clear" w:color="auto" w:fill="ffffff"/>
          <w:lang w:eastAsia="zh-CN"/>
        </w:rPr>
      </w:pPr>
      <w:r/>
      <w:bookmarkStart w:id="6" w:name="_GoBack"/>
      <w:r/>
      <w:bookmarkEnd w:id="6"/>
      <w:r>
        <w:rPr>
          <w:rFonts w:hint="eastAsia" w:ascii="宋体" w:hAnsi="宋体" w:eastAsia="宋体" w:cs="宋体"/>
          <w:sz w:val="24"/>
          <w:szCs w:val="24"/>
          <w:shd w:val="clear" w:color="auto" w:fill="ffffff"/>
          <w:lang w:eastAsia="zh-CN"/>
        </w:rPr>
        <w:t xml:space="preserve">具体内容详见第三部分项目需求.</w:t>
      </w:r>
      <w:r/>
    </w:p>
    <w:p>
      <w:pPr>
        <w:pStyle w:val="821"/>
        <w:ind w:firstLine="480"/>
        <w:spacing w:after="0" w:line="500" w:lineRule="exact"/>
        <w:shd w:val="clear" w:color="auto" w:fill="ffffff"/>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合同履行期限：自合同签订之日起</w:t>
      </w:r>
      <w:r>
        <w:rPr>
          <w:rFonts w:hint="eastAsia" w:ascii="宋体" w:hAnsi="宋体" w:eastAsia="宋体" w:cs="宋体"/>
          <w:sz w:val="24"/>
          <w:szCs w:val="24"/>
          <w:shd w:val="clear" w:color="auto" w:fill="ffffff"/>
          <w:lang w:val="en-US" w:eastAsia="zh-CN"/>
        </w:rPr>
        <w:t xml:space="preserve">30</w:t>
      </w:r>
      <w:r>
        <w:rPr>
          <w:rFonts w:hint="eastAsia" w:ascii="宋体" w:hAnsi="宋体" w:eastAsia="宋体" w:cs="宋体"/>
          <w:sz w:val="24"/>
          <w:szCs w:val="24"/>
          <w:shd w:val="clear" w:color="auto" w:fill="ffffff"/>
          <w:lang w:eastAsia="zh-CN"/>
        </w:rPr>
        <w:t xml:space="preserve">天内完成安装交付（具体以甲方通知为准）。</w:t>
      </w:r>
      <w:r/>
    </w:p>
    <w:p>
      <w:pPr>
        <w:pStyle w:val="821"/>
        <w:ind w:firstLine="480"/>
        <w:spacing w:after="0" w:line="500" w:lineRule="exact"/>
        <w:shd w:val="clear" w:color="auto" w:fill="ffffff"/>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本项目（是/否）接受联合体投标：不接受联合体</w:t>
      </w:r>
      <w:r/>
    </w:p>
    <w:p>
      <w:pPr>
        <w:pStyle w:val="791"/>
        <w:keepLines w:val="0"/>
        <w:keepNext w:val="0"/>
        <w:spacing w:before="0" w:after="0" w:line="500" w:lineRule="exact"/>
        <w:rPr>
          <w:rFonts w:ascii="宋体" w:hAnsi="宋体" w:eastAsia="宋体" w:cs="宋体"/>
        </w:rPr>
      </w:pPr>
      <w:r>
        <w:rPr>
          <w:rStyle w:val="826"/>
          <w:rFonts w:hint="eastAsia" w:ascii="宋体" w:hAnsi="宋体" w:eastAsia="宋体" w:cs="宋体"/>
          <w:sz w:val="28"/>
          <w:szCs w:val="28"/>
          <w:shd w:val="clear" w:color="auto" w:fill="ffffff"/>
        </w:rPr>
        <w:t xml:space="preserve">二、申请人的资格要求</w:t>
      </w:r>
      <w:r/>
    </w:p>
    <w:p>
      <w:pPr>
        <w:pStyle w:val="821"/>
        <w:ind w:firstLine="480"/>
        <w:spacing w:after="0" w:line="500" w:lineRule="exact"/>
        <w:widowControl/>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（一）满足《中华人民共和国政府采购法》第二十二条规定；</w:t>
      </w:r>
      <w:r/>
    </w:p>
    <w:p>
      <w:pPr>
        <w:pStyle w:val="821"/>
        <w:ind w:firstLine="480"/>
        <w:spacing w:after="0" w:line="500" w:lineRule="exact"/>
        <w:widowControl/>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1.具有独立承担民事责任的能力证明。包括法人或者其他组织的营业执照等证明文件，自然人的身份证明；</w:t>
      </w:r>
      <w:r/>
    </w:p>
    <w:p>
      <w:pPr>
        <w:pStyle w:val="821"/>
        <w:ind w:firstLine="480"/>
        <w:spacing w:after="0" w:line="500" w:lineRule="exact"/>
        <w:widowControl/>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2.具有良好的商业信誉和健全的财务会计制度证明。</w:t>
      </w:r>
      <w:r/>
    </w:p>
    <w:p>
      <w:pPr>
        <w:pStyle w:val="821"/>
        <w:ind w:firstLine="480"/>
        <w:spacing w:after="0" w:line="500" w:lineRule="exact"/>
        <w:widowControl/>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3.具备履行合同所必需的设备和专业技术能力的证明材料或承诺；</w:t>
      </w:r>
      <w:r/>
    </w:p>
    <w:p>
      <w:pPr>
        <w:pStyle w:val="821"/>
        <w:ind w:firstLine="480"/>
        <w:jc w:val="left"/>
        <w:spacing w:after="0" w:line="500" w:lineRule="exact"/>
        <w:widowControl/>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4.依法缴纳税收和社会保障资金的相关资料；</w:t>
      </w:r>
      <w:r/>
    </w:p>
    <w:p>
      <w:pPr>
        <w:pStyle w:val="821"/>
        <w:ind w:firstLine="480"/>
        <w:jc w:val="left"/>
        <w:spacing w:after="0" w:line="500" w:lineRule="exact"/>
        <w:widowControl/>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5.参加政府采购活动前三年内在经营活动中没有重大违法记录的书面声明函；</w:t>
      </w:r>
      <w:r/>
    </w:p>
    <w:p>
      <w:pPr>
        <w:pStyle w:val="821"/>
        <w:ind w:firstLine="480"/>
        <w:jc w:val="left"/>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 xml:space="preserve">6.未被“信用中国”网站（www.creditchina.gov.cn）列入失信被执行人、重大税收违法案</w:t>
      </w:r>
      <w:r>
        <w:rPr>
          <w:rFonts w:hint="eastAsia" w:ascii="宋体" w:hAnsi="宋体" w:eastAsia="宋体" w:cs="宋体"/>
          <w:sz w:val="24"/>
          <w:szCs w:val="24"/>
          <w:shd w:val="clear" w:color="auto" w:fill="ffffff"/>
          <w:lang w:eastAsia="zh-CN"/>
        </w:rPr>
        <w:t xml:space="preserve">件当事人名单、政府采购严重失信行为记录名单。</w:t>
      </w:r>
      <w:r/>
    </w:p>
    <w:p>
      <w:pPr>
        <w:pStyle w:val="821"/>
        <w:ind w:firstLine="480"/>
        <w:jc w:val="left"/>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7.采购文件要求的其他资格证明文件</w:t>
      </w:r>
      <w:r/>
    </w:p>
    <w:p>
      <w:pPr>
        <w:pStyle w:val="821"/>
        <w:ind w:firstLine="480"/>
        <w:jc w:val="left"/>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（二）落实政府采购政策需满足的资格要求：</w:t>
      </w:r>
      <w:r/>
    </w:p>
    <w:p>
      <w:pPr>
        <w:pStyle w:val="821"/>
        <w:ind w:firstLine="720"/>
        <w:jc w:val="left"/>
        <w:spacing w:after="0" w:line="500" w:lineRule="exact"/>
        <w:widowControl/>
        <w:rPr>
          <w:rFonts w:hint="eastAsia" w:ascii="宋体" w:hAnsi="宋体" w:eastAsia="宋体" w:cs="宋体"/>
          <w:sz w:val="24"/>
          <w:szCs w:val="24"/>
          <w:highlight w:val="none"/>
          <w:shd w:val="clear" w:color="auto" w:fill="ffffff"/>
          <w:lang w:val="en-US" w:eastAsia="zh-CN"/>
        </w:rPr>
      </w:pPr>
      <w:r>
        <w:rPr>
          <w:rFonts w:hint="eastAsia" w:ascii="宋体" w:hAnsi="宋体" w:eastAsia="宋体" w:cs="宋体"/>
          <w:sz w:val="24"/>
          <w:szCs w:val="24"/>
          <w:highlight w:val="none"/>
          <w:shd w:val="clear" w:color="auto" w:fill="ffffff"/>
          <w:lang w:val="en-US" w:eastAsia="zh-CN"/>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21"/>
        <w:ind w:firstLine="480"/>
        <w:jc w:val="left"/>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（三）本项目的特定资格要求： </w:t>
      </w:r>
      <w:r/>
    </w:p>
    <w:p>
      <w:pPr>
        <w:pStyle w:val="821"/>
        <w:ind w:firstLine="480"/>
        <w:jc w:val="left"/>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（四）拒绝下述供应商参加本次采购活动：</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2、凡为采购项目提供整体设计、规范编制或者项目管理、监理、检测等服务的供应商，不得再参加本项目的采购活动。</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3、法人的分支机构不得参加响应活动（除银行、保险、石油石化、电力、电信等行业特殊情况外）。</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91"/>
        <w:keepLines w:val="0"/>
        <w:keepNext w:val="0"/>
        <w:spacing w:before="0" w:after="0" w:line="500" w:lineRule="exact"/>
        <w:rPr>
          <w:rFonts w:ascii="宋体" w:hAnsi="宋体" w:eastAsia="宋体" w:cs="宋体"/>
        </w:rPr>
      </w:pPr>
      <w:r>
        <w:rPr>
          <w:rStyle w:val="826"/>
          <w:rFonts w:hint="eastAsia" w:ascii="宋体" w:hAnsi="宋体" w:eastAsia="宋体" w:cs="宋体"/>
          <w:sz w:val="28"/>
          <w:szCs w:val="28"/>
          <w:shd w:val="clear" w:color="auto" w:fill="ffffff"/>
        </w:rPr>
        <w:t xml:space="preserve">三、获取招标文件</w:t>
      </w:r>
      <w:r/>
    </w:p>
    <w:p>
      <w:pPr>
        <w:ind w:firstLine="480"/>
        <w:spacing w:line="500" w:lineRule="exact"/>
        <w:shd w:val="clear" w:color="auto" w:fill="ffffff"/>
        <w:rPr>
          <w:rFonts w:ascii="宋体" w:hAnsi="宋体" w:cs="宋体"/>
          <w:sz w:val="24"/>
          <w:shd w:val="clear" w:color="auto" w:fill="ffffff"/>
        </w:rPr>
        <w:pBdr>
          <w:top w:val="single" w:color="CCCCCC" w:sz="2" w:space="0"/>
          <w:left w:val="single" w:color="CCCCCC" w:sz="2" w:space="30"/>
          <w:bottom w:val="single" w:color="CCCCCC" w:sz="2" w:space="0"/>
          <w:right w:val="single" w:color="CCCCCC" w:sz="2" w:space="0"/>
        </w:pBdr>
      </w:pPr>
      <w:r>
        <w:rPr>
          <w:rFonts w:hint="eastAsia" w:ascii="宋体" w:hAnsi="宋体" w:cs="宋体"/>
          <w:sz w:val="24"/>
          <w:shd w:val="clear" w:color="auto" w:fill="ffffff"/>
        </w:rPr>
        <w:t xml:space="preserve">时间：自本公告发布之日起5个工作日</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地点：“苏采云”系统（网址：http://jszfcg.jsczt.cn/）自行下载 </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方式：自行下载 </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售价：0.00元 </w:t>
      </w:r>
      <w:r/>
    </w:p>
    <w:p>
      <w:pPr>
        <w:pStyle w:val="791"/>
        <w:keepLines w:val="0"/>
        <w:keepNext w:val="0"/>
        <w:spacing w:before="0" w:after="0" w:line="500" w:lineRule="exact"/>
        <w:rPr>
          <w:rFonts w:ascii="宋体" w:hAnsi="宋体" w:eastAsia="宋体" w:cs="宋体"/>
        </w:rPr>
      </w:pPr>
      <w:r>
        <w:rPr>
          <w:rStyle w:val="826"/>
          <w:rFonts w:hint="eastAsia" w:ascii="宋体" w:hAnsi="宋体" w:eastAsia="宋体" w:cs="宋体"/>
          <w:sz w:val="28"/>
          <w:szCs w:val="28"/>
          <w:shd w:val="clear" w:color="auto" w:fill="ffffff"/>
        </w:rPr>
        <w:t xml:space="preserve">四、提交投标文件截止时间、开标时间和地点</w:t>
      </w:r>
      <w:r/>
    </w:p>
    <w:p>
      <w:pPr>
        <w:pStyle w:val="821"/>
        <w:ind w:firstLine="480"/>
        <w:spacing w:after="0" w:line="500" w:lineRule="exact"/>
        <w:widowControl/>
        <w:rPr>
          <w:rFonts w:ascii="宋体" w:hAnsi="宋体" w:eastAsia="宋体" w:cs="宋体"/>
          <w:sz w:val="24"/>
          <w:szCs w:val="24"/>
          <w:lang w:eastAsia="zh-CN"/>
        </w:rPr>
      </w:pPr>
      <w:r>
        <w:rPr>
          <w:rFonts w:hint="eastAsia" w:ascii="宋体" w:hAnsi="宋体" w:eastAsia="宋体" w:cs="宋体"/>
          <w:sz w:val="24"/>
          <w:szCs w:val="24"/>
          <w:highlight w:val="none"/>
          <w:lang w:eastAsia="zh-CN"/>
        </w:rPr>
        <w:t xml:space="preserve">2026-02-03 </w:t>
      </w:r>
      <w:r>
        <w:rPr>
          <w:rFonts w:hint="eastAsia" w:ascii="宋体" w:hAnsi="宋体" w:eastAsia="宋体" w:cs="宋体"/>
          <w:sz w:val="24"/>
          <w:szCs w:val="24"/>
          <w:highlight w:val="none"/>
          <w:shd w:val="clear" w:color="auto" w:fill="ffffff"/>
          <w:lang w:eastAsia="zh-CN"/>
        </w:rPr>
        <w:t xml:space="preserve"> 09:30 （北京时间</w:t>
      </w:r>
      <w:r>
        <w:rPr>
          <w:rFonts w:hint="eastAsia" w:ascii="宋体" w:hAnsi="宋体" w:eastAsia="宋体" w:cs="宋体"/>
          <w:sz w:val="24"/>
          <w:szCs w:val="24"/>
          <w:shd w:val="clear" w:color="auto" w:fill="ffffff"/>
          <w:lang w:eastAsia="zh-CN"/>
        </w:rPr>
        <w:t xml:space="preserve">）</w:t>
      </w:r>
      <w:r/>
    </w:p>
    <w:p>
      <w:pPr>
        <w:pStyle w:val="821"/>
        <w:ind w:firstLine="480"/>
        <w:spacing w:after="0" w:line="500" w:lineRule="exact"/>
        <w:widowControl/>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地点：苏采云系统 </w:t>
      </w:r>
      <w:r/>
    </w:p>
    <w:p>
      <w:pPr>
        <w:pStyle w:val="791"/>
        <w:keepLines w:val="0"/>
        <w:keepNext w:val="0"/>
        <w:spacing w:before="0" w:after="0" w:line="500" w:lineRule="exact"/>
        <w:shd w:val="clear" w:color="auto" w:fill="ffffff"/>
        <w:rPr>
          <w:rFonts w:ascii="宋体" w:hAnsi="宋体" w:eastAsia="宋体" w:cs="宋体"/>
        </w:rPr>
      </w:pPr>
      <w:r>
        <w:rPr>
          <w:rStyle w:val="826"/>
          <w:rFonts w:hint="eastAsia" w:ascii="宋体" w:hAnsi="宋体" w:eastAsia="宋体" w:cs="宋体"/>
          <w:sz w:val="28"/>
          <w:szCs w:val="28"/>
          <w:shd w:val="clear" w:color="auto" w:fill="ffffff"/>
        </w:rPr>
        <w:t xml:space="preserve">五、公告期限</w:t>
      </w:r>
      <w:r/>
    </w:p>
    <w:p>
      <w:pPr>
        <w:pStyle w:val="821"/>
        <w:ind w:firstLine="480"/>
        <w:spacing w:after="0" w:line="500" w:lineRule="exact"/>
        <w:shd w:val="clear" w:color="auto" w:fill="ffffff"/>
        <w:widowControl/>
        <w:rPr>
          <w:rFonts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自本公告发布之日起5个工作日。</w:t>
      </w:r>
      <w:r/>
    </w:p>
    <w:p>
      <w:pPr>
        <w:pStyle w:val="791"/>
        <w:keepLines w:val="0"/>
        <w:keepNext w:val="0"/>
        <w:spacing w:before="0" w:after="0" w:line="500" w:lineRule="exact"/>
        <w:rPr>
          <w:rFonts w:ascii="宋体" w:hAnsi="宋体" w:eastAsia="宋体" w:cs="宋体"/>
        </w:rPr>
      </w:pPr>
      <w:r>
        <w:rPr>
          <w:rStyle w:val="826"/>
          <w:rFonts w:hint="eastAsia" w:ascii="宋体" w:hAnsi="宋体" w:eastAsia="宋体" w:cs="宋体"/>
          <w:sz w:val="28"/>
          <w:szCs w:val="28"/>
          <w:shd w:val="clear" w:color="auto" w:fill="ffffff"/>
        </w:rPr>
        <w:t xml:space="preserve">六、其他补充事宜</w:t>
      </w:r>
      <w:r/>
    </w:p>
    <w:p>
      <w:pPr>
        <w:ind w:firstLine="480"/>
        <w:spacing w:line="500" w:lineRule="exact"/>
        <w:rPr>
          <w:rFonts w:ascii="宋体" w:hAnsi="宋体" w:cs="宋体"/>
          <w:sz w:val="24"/>
        </w:rPr>
      </w:pPr>
      <w:r>
        <w:rPr>
          <w:rFonts w:hint="eastAsia" w:ascii="宋体" w:hAnsi="宋体" w:cs="宋体"/>
          <w:sz w:val="24"/>
        </w:rPr>
        <w:t xml:space="preserve">1、本项目需要使用CA数字证书制作、上传电子投标文件完成电子投标，请供应商在参加投标活动前办理好CA数字证书申领及电子签章等操作。</w:t>
      </w:r>
      <w:r/>
    </w:p>
    <w:p>
      <w:pPr>
        <w:ind w:firstLine="482"/>
        <w:spacing w:line="500" w:lineRule="exact"/>
        <w:rPr>
          <w:rFonts w:ascii="宋体" w:hAnsi="宋体" w:cs="宋体"/>
          <w:b/>
          <w:sz w:val="24"/>
        </w:rPr>
      </w:pPr>
      <w:r>
        <w:rPr>
          <w:rFonts w:hint="eastAsia" w:ascii="宋体" w:hAnsi="宋体" w:cs="宋体"/>
          <w:b/>
          <w:sz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宋体" w:hAnsi="宋体" w:cs="宋体"/>
          <w:sz w:val="24"/>
        </w:rPr>
      </w:pPr>
      <w:r>
        <w:rPr>
          <w:rFonts w:hint="eastAsia" w:ascii="宋体" w:hAnsi="宋体" w:cs="宋体"/>
          <w:b/>
          <w:sz w:val="24"/>
        </w:rPr>
        <w:t xml:space="preserve">3、本项目采用不见面开标，投标人开标时无需到开标现场进行解密，采取网上开标大厅解密电子投标文件，投标人远程解密要求如下：</w:t>
      </w:r>
      <w:r/>
    </w:p>
    <w:p>
      <w:pPr>
        <w:ind w:firstLine="480"/>
        <w:spacing w:line="500" w:lineRule="exact"/>
        <w:rPr>
          <w:rFonts w:ascii="宋体" w:hAnsi="宋体" w:cs="宋体"/>
          <w:sz w:val="24"/>
        </w:rPr>
      </w:pPr>
      <w:r>
        <w:rPr>
          <w:rFonts w:hint="eastAsia" w:ascii="宋体" w:hAnsi="宋体" w:cs="宋体"/>
          <w:sz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500" w:lineRule="exact"/>
        <w:rPr>
          <w:rFonts w:ascii="宋体" w:hAnsi="宋体" w:cs="宋体"/>
          <w:sz w:val="24"/>
        </w:rPr>
      </w:pPr>
      <w:r>
        <w:rPr>
          <w:rFonts w:hint="eastAsia" w:ascii="宋体" w:hAnsi="宋体" w:cs="宋体"/>
          <w:sz w:val="24"/>
        </w:rPr>
        <w:t xml:space="preserve">2）投标人登录苏采云系统，点击开标大厅，选择开标项目，完成不见面开标流程。</w:t>
      </w:r>
      <w:r/>
    </w:p>
    <w:p>
      <w:pPr>
        <w:ind w:firstLine="480"/>
        <w:spacing w:line="500" w:lineRule="exact"/>
        <w:rPr>
          <w:rFonts w:ascii="宋体" w:hAnsi="宋体" w:cs="宋体"/>
          <w:sz w:val="24"/>
        </w:rPr>
      </w:pPr>
      <w:r>
        <w:rPr>
          <w:rFonts w:hint="eastAsia" w:ascii="宋体" w:hAnsi="宋体" w:cs="宋体"/>
          <w:sz w:val="24"/>
        </w:rPr>
        <w:t xml:space="preserve">3）投标截止时间后根据系统提示解密电子投标文件。</w:t>
      </w:r>
      <w:r>
        <w:rPr>
          <w:rFonts w:hint="eastAsia" w:ascii="宋体" w:hAnsi="宋体" w:cs="宋体"/>
          <w:b/>
          <w:sz w:val="24"/>
        </w:rPr>
        <w:t xml:space="preserve">解密时间为15分钟，</w:t>
      </w:r>
      <w:r>
        <w:rPr>
          <w:rFonts w:hint="eastAsia" w:ascii="宋体" w:hAnsi="宋体" w:cs="宋体"/>
          <w:sz w:val="24"/>
        </w:rPr>
        <w:t xml:space="preserve">未在规定时间内完成解密，其投标文件将被拒绝，不参与后续投标流程。</w:t>
      </w:r>
      <w:r/>
    </w:p>
    <w:p>
      <w:pPr>
        <w:ind w:firstLine="480"/>
        <w:spacing w:line="500" w:lineRule="exact"/>
        <w:rPr>
          <w:rFonts w:ascii="宋体" w:hAnsi="宋体" w:cs="宋体"/>
          <w:sz w:val="24"/>
        </w:rPr>
      </w:pPr>
      <w:r>
        <w:rPr>
          <w:rFonts w:hint="eastAsia" w:ascii="宋体" w:hAnsi="宋体" w:cs="宋体"/>
          <w:sz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500" w:lineRule="exact"/>
        <w:rPr>
          <w:rFonts w:ascii="宋体" w:hAnsi="宋体" w:cs="宋体"/>
          <w:sz w:val="24"/>
        </w:rPr>
      </w:pPr>
      <w:r>
        <w:rPr>
          <w:rFonts w:hint="eastAsia" w:ascii="宋体" w:hAnsi="宋体" w:cs="宋体"/>
          <w:sz w:val="24"/>
        </w:rPr>
        <w:t xml:space="preserve">4、</w:t>
      </w:r>
      <w:r>
        <w:rPr>
          <w:rFonts w:hint="eastAsia" w:ascii="宋体" w:hAnsi="宋体" w:cs="宋体"/>
          <w:b/>
          <w:sz w:val="24"/>
        </w:rPr>
        <w:t xml:space="preserve">有关苏采云系统驱动安装，</w:t>
      </w:r>
      <w:r>
        <w:rPr>
          <w:rFonts w:hint="eastAsia" w:ascii="宋体" w:hAnsi="宋体" w:cs="宋体"/>
          <w:sz w:val="24"/>
        </w:rPr>
        <w:t xml:space="preserve">登录苏州政府采购网，点击页面底部苏采云图标，进入苏采云政府采购一体化平台，点击“驱动下载”，下载</w:t>
      </w:r>
      <w:r>
        <w:rPr>
          <w:rFonts w:hint="eastAsia" w:ascii="宋体" w:hAnsi="宋体" w:cs="宋体"/>
          <w:b/>
          <w:sz w:val="24"/>
        </w:rPr>
        <w:t xml:space="preserve">“政务CA、方正签章控件驱动安装包及安装说明”</w:t>
      </w:r>
      <w:r>
        <w:rPr>
          <w:rFonts w:hint="eastAsia" w:ascii="宋体" w:hAnsi="宋体" w:cs="宋体"/>
          <w:sz w:val="24"/>
        </w:rPr>
        <w:t xml:space="preserve">文件，按要求安装驱动。</w:t>
      </w:r>
      <w:r/>
    </w:p>
    <w:p>
      <w:pPr>
        <w:ind w:firstLine="480"/>
        <w:spacing w:line="500" w:lineRule="exact"/>
        <w:rPr>
          <w:rFonts w:ascii="宋体" w:hAnsi="宋体" w:cs="宋体"/>
          <w:sz w:val="24"/>
        </w:rPr>
      </w:pPr>
      <w:r>
        <w:rPr>
          <w:rFonts w:hint="eastAsia" w:ascii="宋体" w:hAnsi="宋体" w:cs="宋体"/>
          <w:sz w:val="24"/>
        </w:rPr>
        <w:t xml:space="preserve">5、</w:t>
      </w:r>
      <w:r>
        <w:rPr>
          <w:rFonts w:hint="eastAsia" w:ascii="宋体" w:hAnsi="宋体" w:cs="宋体"/>
          <w:b/>
          <w:sz w:val="24"/>
        </w:rPr>
        <w:t xml:space="preserve">有关供应商注册、报名、下载电子招标文件、制作上传电子投标文件</w:t>
      </w:r>
      <w:r>
        <w:rPr>
          <w:rFonts w:hint="eastAsia" w:ascii="宋体" w:hAnsi="宋体" w:cs="宋体"/>
          <w:sz w:val="24"/>
        </w:rPr>
        <w:t xml:space="preserve">、不见面开标及其他注意事项登录苏州政府采购网，在“下载中心”栏目下载“</w:t>
      </w:r>
      <w:r>
        <w:rPr>
          <w:rFonts w:hint="eastAsia" w:ascii="宋体" w:hAnsi="宋体" w:cs="宋体"/>
          <w:b/>
          <w:sz w:val="24"/>
        </w:rPr>
        <w:t xml:space="preserve">苏采云系统供应商操作</w:t>
      </w:r>
      <w:r>
        <w:rPr>
          <w:rFonts w:hint="eastAsia" w:ascii="宋体" w:hAnsi="宋体" w:cs="宋体"/>
          <w:b/>
          <w:bCs/>
          <w:sz w:val="24"/>
        </w:rPr>
        <w:t xml:space="preserve">手册</w:t>
      </w:r>
      <w:r>
        <w:rPr>
          <w:rFonts w:hint="eastAsia" w:ascii="宋体" w:hAnsi="宋体" w:cs="宋体"/>
          <w:sz w:val="24"/>
        </w:rPr>
        <w:t xml:space="preserve">”查阅。</w:t>
      </w:r>
      <w:r/>
    </w:p>
    <w:p>
      <w:pPr>
        <w:ind w:firstLine="480"/>
        <w:spacing w:line="500" w:lineRule="exact"/>
        <w:rPr>
          <w:rFonts w:ascii="宋体" w:hAnsi="宋体" w:cs="宋体"/>
          <w:sz w:val="24"/>
        </w:rPr>
      </w:pPr>
      <w:r>
        <w:rPr>
          <w:rFonts w:hint="eastAsia" w:ascii="宋体" w:hAnsi="宋体" w:cs="宋体"/>
          <w:sz w:val="24"/>
        </w:rPr>
        <w:t xml:space="preserve">6、有关办理CA数字申领及电子签章事项，登录苏州政府采购网，点击页面底部苏采云图标，进入苏采云政府采购一体化平台，下载“新CA办理指南”文件查阅。</w:t>
      </w:r>
      <w:r/>
    </w:p>
    <w:p>
      <w:pPr>
        <w:ind w:firstLine="480"/>
        <w:spacing w:line="500" w:lineRule="exact"/>
        <w:rPr>
          <w:rFonts w:ascii="宋体" w:hAnsi="宋体" w:cs="宋体"/>
          <w:sz w:val="24"/>
        </w:rPr>
      </w:pPr>
      <w:r>
        <w:rPr>
          <w:rFonts w:hint="eastAsia" w:ascii="宋体" w:hAnsi="宋体" w:cs="宋体"/>
          <w:sz w:val="24"/>
        </w:rPr>
        <w:t xml:space="preserve">7、有关电子投标制作技术疑问，请咨询苏采云软件公司客服：18261002950、0512-69820854、0519-86722802</w:t>
      </w:r>
      <w:r/>
    </w:p>
    <w:p>
      <w:pPr>
        <w:ind w:firstLine="480"/>
        <w:spacing w:line="500" w:lineRule="exact"/>
        <w:rPr>
          <w:rFonts w:ascii="宋体" w:hAnsi="宋体" w:cs="宋体"/>
          <w:sz w:val="24"/>
        </w:rPr>
      </w:pPr>
      <w:r>
        <w:rPr>
          <w:rFonts w:hint="eastAsia" w:ascii="宋体" w:hAnsi="宋体" w:cs="宋体"/>
          <w:sz w:val="24"/>
        </w:rPr>
        <w:t xml:space="preserve">8、政府采购监督电话：0512-53512539</w:t>
      </w:r>
      <w:r/>
    </w:p>
    <w:p>
      <w:pPr>
        <w:ind w:firstLine="480"/>
        <w:spacing w:line="500" w:lineRule="exact"/>
        <w:rPr>
          <w:rFonts w:ascii="宋体" w:hAnsi="宋体" w:cs="宋体"/>
          <w:sz w:val="24"/>
        </w:rPr>
      </w:pPr>
      <w:r>
        <w:rPr>
          <w:rFonts w:hint="eastAsia" w:ascii="宋体" w:hAnsi="宋体" w:cs="宋体"/>
          <w:sz w:val="24"/>
        </w:rPr>
        <w:t xml:space="preserve">9、本次招标投标保证金：本项目无须缴纳投标保证金。</w:t>
      </w:r>
      <w:r/>
    </w:p>
    <w:p>
      <w:pPr>
        <w:ind w:firstLine="480"/>
        <w:spacing w:line="500" w:lineRule="exact"/>
        <w:rPr>
          <w:rFonts w:ascii="宋体" w:hAnsi="宋体" w:cs="宋体"/>
          <w:sz w:val="24"/>
        </w:rPr>
      </w:pPr>
      <w:r>
        <w:rPr>
          <w:rFonts w:hint="eastAsia" w:ascii="宋体" w:hAnsi="宋体" w:cs="宋体"/>
          <w:sz w:val="24"/>
        </w:rPr>
        <w:t xml:space="preserve">10、政府采购信用融资政策：中标供应商可凭政府采购合同办理融资贷款，详情请见江苏政府采购网“政采贷”专栏。</w:t>
      </w:r>
      <w:r>
        <w:rPr>
          <w:rFonts w:hint="eastAsia" w:ascii="宋体" w:hAnsi="宋体" w:cs="宋体"/>
          <w:sz w:val="24"/>
        </w:rPr>
        <w:br/>
      </w:r>
      <w:r>
        <w:rPr>
          <w:rFonts w:hint="eastAsia" w:ascii="宋体" w:hAnsi="宋体" w:cs="宋体"/>
          <w:sz w:val="24"/>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791"/>
        <w:keepLines w:val="0"/>
        <w:keepNext w:val="0"/>
        <w:spacing w:before="0" w:after="0" w:line="500" w:lineRule="exact"/>
        <w:rPr>
          <w:rFonts w:ascii="宋体" w:hAnsi="宋体" w:eastAsia="宋体" w:cs="宋体"/>
        </w:rPr>
      </w:pPr>
      <w:r>
        <w:rPr>
          <w:rStyle w:val="826"/>
          <w:rFonts w:hint="eastAsia" w:ascii="宋体" w:hAnsi="宋体" w:eastAsia="宋体" w:cs="宋体"/>
          <w:sz w:val="28"/>
          <w:szCs w:val="28"/>
          <w:shd w:val="clear" w:color="auto" w:fill="ffffff"/>
        </w:rPr>
        <w:t xml:space="preserve">七、对本次招标提出询问，请按以下方式联系</w:t>
      </w:r>
      <w:r/>
    </w:p>
    <w:p>
      <w:pPr>
        <w:pStyle w:val="821"/>
        <w:ind w:firstLine="480"/>
        <w:jc w:val="left"/>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1.采购人信息 </w:t>
      </w:r>
      <w:r/>
    </w:p>
    <w:p>
      <w:pPr>
        <w:pStyle w:val="821"/>
        <w:ind w:firstLine="480"/>
        <w:jc w:val="left"/>
        <w:spacing w:after="0" w:line="500" w:lineRule="exact"/>
        <w:widowControl/>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 xml:space="preserve">单位名称：太仓市城厢镇人民政府</w:t>
      </w:r>
      <w:r/>
    </w:p>
    <w:p>
      <w:pPr>
        <w:pStyle w:val="821"/>
        <w:ind w:firstLine="480"/>
        <w:jc w:val="left"/>
        <w:spacing w:after="0" w:line="500" w:lineRule="exact"/>
        <w:widowControl/>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 xml:space="preserve">单位地址:江苏省太仓市太平南路76号</w:t>
      </w:r>
      <w:r/>
    </w:p>
    <w:p>
      <w:pPr>
        <w:pStyle w:val="821"/>
        <w:ind w:firstLine="480"/>
        <w:jc w:val="left"/>
        <w:spacing w:after="0" w:line="500" w:lineRule="exact"/>
        <w:widowControl/>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 xml:space="preserve">联系人:陈舞文</w:t>
      </w:r>
      <w:r/>
    </w:p>
    <w:p>
      <w:pPr>
        <w:pStyle w:val="821"/>
        <w:ind w:firstLine="480"/>
        <w:jc w:val="left"/>
        <w:spacing w:after="0" w:line="500" w:lineRule="exact"/>
        <w:widowControl/>
        <w:rPr>
          <w:rFonts w:ascii="宋体" w:hAnsi="宋体" w:eastAsia="宋体" w:cs="宋体"/>
          <w:color w:val="333333"/>
          <w:sz w:val="24"/>
          <w:szCs w:val="24"/>
          <w:shd w:val="clear" w:color="auto" w:fill="ffffff"/>
          <w:lang w:eastAsia="zh-CN"/>
        </w:rPr>
      </w:pPr>
      <w:r>
        <w:rPr>
          <w:rFonts w:hint="eastAsia" w:ascii="宋体" w:hAnsi="宋体" w:eastAsia="宋体" w:cs="宋体"/>
          <w:color w:val="333333"/>
          <w:sz w:val="24"/>
          <w:szCs w:val="24"/>
          <w:shd w:val="clear" w:color="auto" w:fill="ffffff"/>
          <w:lang w:eastAsia="zh-CN"/>
        </w:rPr>
        <w:t xml:space="preserve">联系电话:0512-53579965 </w:t>
      </w:r>
      <w:r/>
    </w:p>
    <w:p>
      <w:pPr>
        <w:pStyle w:val="821"/>
        <w:ind w:firstLine="480"/>
        <w:jc w:val="left"/>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2.采购代理机构信息（如有）</w:t>
      </w:r>
      <w:r/>
    </w:p>
    <w:p>
      <w:pPr>
        <w:pStyle w:val="821"/>
        <w:ind w:firstLine="480"/>
        <w:jc w:val="left"/>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单位名称：苏州市公共资源交易中心太仓分中心</w:t>
      </w:r>
      <w:r/>
    </w:p>
    <w:p>
      <w:pPr>
        <w:pStyle w:val="821"/>
        <w:ind w:firstLine="480"/>
        <w:jc w:val="left"/>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单位地址：太仓市陆渡街道万金北路88号3栋</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联系人：张倩</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联系电话：0512-53890581</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3.项目联系方式</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项目联系人：张倩</w:t>
      </w:r>
      <w:r/>
    </w:p>
    <w:p>
      <w:pPr>
        <w:pStyle w:val="821"/>
        <w:ind w:firstLine="480"/>
        <w:spacing w:after="0" w:line="500" w:lineRule="exact"/>
        <w:widowControl/>
        <w:rPr>
          <w:rFonts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电话：0512-53890581</w:t>
      </w:r>
      <w:r/>
    </w:p>
    <w:p>
      <w:pPr>
        <w:ind w:firstLine="420"/>
        <w:spacing w:line="500" w:lineRule="exact"/>
        <w:rPr>
          <w:rFonts w:ascii="宋体" w:hAnsi="宋体" w:cs="宋体"/>
        </w:rPr>
      </w:pPr>
      <w:r>
        <w:rPr>
          <w:rFonts w:ascii="宋体" w:hAnsi="宋体" w:cs="宋体"/>
        </w:rPr>
      </w:r>
      <w:r/>
    </w:p>
    <w:p>
      <w:pPr>
        <w:spacing w:line="480" w:lineRule="exact"/>
        <w:rPr>
          <w:rFonts w:ascii="宋体" w:hAnsi="宋体" w:cs="宋体"/>
        </w:rPr>
      </w:pPr>
      <w:r>
        <w:rPr>
          <w:rFonts w:ascii="宋体" w:hAnsi="宋体" w:cs="宋体"/>
        </w:rPr>
      </w:r>
      <w:r/>
    </w:p>
    <w:p>
      <w:pPr>
        <w:spacing w:line="113"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line="312"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 </w:t>
      </w:r>
      <w:r/>
    </w:p>
    <w:p>
      <w:pPr>
        <w:pStyle w:val="994"/>
        <w:rPr>
          <w:rFonts w:ascii="宋体" w:hAnsi="宋体" w:cs="宋体"/>
        </w:rPr>
      </w:pPr>
      <w:r>
        <w:rPr>
          <w:rFonts w:ascii="宋体" w:hAnsi="宋体" w:cs="宋体"/>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jc w:val="center"/>
        <w:spacing w:line="312" w:lineRule="atLeast"/>
        <w:rPr>
          <w:rFonts w:ascii="宋体" w:hAnsi="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第二部分  投标人须知</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一、说明和释义</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 说明</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1.1本招标文件仅适用于苏州市公共资源交易中心太仓分中心组织的招标活动。</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1.2本次招标活动及因本次招标产生的合同受中国法律制约和保护。</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1.3本招标文件的解释权属于苏州市公共资源交易中心太仓分中心。</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 词语释义</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2.1采购代理机构：具体组织实施招标活动的法人。本项目采购代理机构是苏州市公共资源交易中心太仓分中心。</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2.2投标人：经认定有资格响应招标，参加投标竞争的法人或其他组织和自然人。</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2.3响应：投标人根据采购人或采购代理机构发布的招标文件，编制投标文件并按规定投标的行为。</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2.5甲方（采购方）：合同中明确规定的实际购买货物和服务的法人或其他组织和自然人（采购人）</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2.6乙方（供应商）：合同中规定的向采购方提供货物和服务的法人或其他组织和自然人（中标人）</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2.7货物：系指乙方按招标采购文件规定，应向甲方提供的一切设备、备品、备件、工具、手册及其它有关技术资料和材料。</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2.9知识产权：指专利权、商标权、著作权等无形财产专有权的统称。</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2.10天：日历日。</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2.11交货地点：合同中明确约定的乙方提交的货物和服务最终到达地点。</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 合同价款：根据合同规定，乙方在正确地履行合同义务后甲方应支付乙方的价款。</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2.13 产地：货物开采、生长、生产、最终制造、加工或提供服务的来源地。</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2.14不可抗力：不能预见、不能避免并且不能克服的客观情况。</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2.15 实质性响应：满足有关本次采购标的、数量、质量、价款或者报酬、履行期限、履行地点和方式、违约责任和解决争议方法等要求。</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2.17进口产品：指通过中国海关报关验收进入中国境内且产自境外的产品。本项目不接受进口产品投标。</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2.18书面形式：指书面文字、合同书、信件和传真等可以有形地表现所载内容的形式。</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二、 投标人</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 合格投标人的基本条件</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3.1符合《中华人民共和国政府采购法》第二十二条第一款之规定；</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3.2满足本文件实质性条款的规定。</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4．合格投标人的特定条件</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4.1 按招标公告规定。</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5. 投标人代表</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5.1指全权代表投标人参加投标活动并签署投标文件的人，如果投标人代表不是法人代表，须持有《法人代表授权委托书》（详见统一格式）。</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6. 联合投标及转包、分包</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6.1本项目不接受联合体投标。</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6.2本项目不接受转包</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6.3本项目不接受分包。</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7. 投标费用 </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7.2 本次招标项目不收取标书费及中标服务费，请投标人在投标时充分考虑这一因素。</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三、招标文件说明</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8. 招标文件</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8.2招标文件及其更正文件不是直接从采购代理机构或指定媒体获得的，采购代理机构对招标文件及其补遗的真实性、完整性不承担任何责任。</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9. 招标文件的澄清</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9.1投标人在获取招标文件后，若有疑问，应于投标截止时间之前，向采购代理机构提出，采购代理机构将予以解答。</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9.2如有必要，问题答复将以“变更公告”形式由采购代理机构按照本须知第10条的规定发出。</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10.招标文件的修改</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10.3招标文件的更正（含澄清、修改等）内容与原招标文件在同一内容上表述不一致时，以发出日期最接近开标时间的公告为准。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10.5招标文件若有最新的答疑文件，投标供应商必须下载并使用该文件制作新的电子投标文件，否则将无法完成电子投标文件的上传及投标。</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11.质疑</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11.3上述应知其权益受到损害之日是指：</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11.3.1对采购文件提出质疑的，为获取采购文件或者采购文件公告期限届满之日起计算；</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11.3.2对采购过程提出质疑的，自采购程序环节结束之日起计算；</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11.3.3对中标结果提出质疑的，自中标结果公告期限届满之日起计算。</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 供应商提出质疑应当提交质疑函和必要的证明材料。质疑函应当包括下列内容：</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11.4.1 供应商的姓名或者名称、地址、邮编、联系人及联系电话；</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11.4.2 质疑项目的名称、编号；</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11.4.3 具体、明确的质疑事项和与质疑事项相关的请求；</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11.4.4 事实依据；</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11.4.5 必要的法律依据；</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11.4.6 提出质疑的日期。</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11.5质疑函的格式和内容应当符合财政部《政府采购供应商质疑函范本》 要求，质疑函范本在财政部官网上提供下载。</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 提交质疑函同时应当附如下证明材料：</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11.6.1对采购文件提出质疑的供应商提供参加本项目的《投标供应商确认函</w:t>
      </w:r>
      <w:r>
        <w:rPr>
          <w:rFonts w:hint="eastAsia" w:ascii="宋体" w:hAnsi="宋体" w:cs="宋体"/>
          <w:b/>
          <w:sz w:val="24"/>
        </w:rPr>
        <w:t xml:space="preserve">》</w:t>
      </w:r>
      <w:r>
        <w:rPr>
          <w:rFonts w:hint="eastAsia" w:ascii="宋体" w:hAnsi="宋体" w:cs="宋体"/>
          <w:sz w:val="24"/>
        </w:rPr>
        <w:t xml:space="preserve">；</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11.6.2质疑供应商的营业执照复印件加盖单位公章；</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11.6.3质疑供应商法定代表人身份证复印件加盖单位公章；</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11.9 供应商如对本项目提出质疑须在法定质疑期内一次性提出针对同一采购程序环节的质疑。</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sz w:val="24"/>
        </w:rPr>
        <w:t xml:space="preserve">（即《投标供应商确认函》）</w:t>
      </w:r>
      <w:r>
        <w:rPr>
          <w:rFonts w:hint="eastAsia" w:ascii="宋体" w:hAnsi="宋体" w:cs="宋体"/>
          <w:sz w:val="24"/>
        </w:rPr>
        <w:t xml:space="preserve">与质疑函一起递交，否则不予受理。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11.11 接受质疑函联系方式见采购公告联系事项。</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四、 投标文件说明</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12、提示与要求</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12.2无论是否递交投标文件，投标人都应将招标文件及以后的所有通知、文件等视为保密文件。</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13. 投标文件计量单位和使用文字</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13.1投标文件中所使用的计量单位，除招标文件中有特殊要求外，均应使用中华人民共和国法定计量单位。</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14. 知识产权</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 投标文件的组成</w:t>
      </w:r>
      <w:r/>
    </w:p>
    <w:p>
      <w:pPr>
        <w:ind w:firstLine="12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15.1报价部分（详见投标文件格式）：</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15.1.1封面</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15.1.2《开标一览表》(统一格式)；</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15.1.3公开分项报价表；</w:t>
      </w:r>
      <w:r/>
    </w:p>
    <w:p>
      <w:pPr>
        <w:ind w:firstLine="12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15.2 投标正文部分（包含资质证明和技术部分）</w:t>
      </w:r>
      <w:r/>
    </w:p>
    <w:p>
      <w:pPr>
        <w:ind w:firstLine="361"/>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15.2.1资质证明文件部分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15.2.1.1关于资格文件的声明函（详见投标文件格式）；</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15.2.1.2投标承诺函（详见投标文件格式）；</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15.2.1.3投标人基本情况表（详见投标文件格式）；</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15.2.1.4投标人法定代表人身份证复印件；</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15.2.1.5投标人法定代表人授权委托书原件（如有授权）（详见投标文件格式）</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15.2.1.6投标人授权代理人身份证复印件（如有授权）</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15.2.1.7投标单位营业执照副本或三证合一营业执照复印件；</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15.2.1.8投标人参加本次政府采购活动前的财务状况报告或者银行出具的资信证明；</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15.2.1.9投标人根据项目需求提供履行合同所必需的设备和专业技术能力的证明材料；</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15.2.1.10投标人参加本次政府采购活动前半年（至少一个月）依法缴纳税收和社会保障资金的证明材料；</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15.2.1.11投标人参加政府采购活动前三年在经营活动中没有重大违法记录的书面申明（详见投标文件格式）；</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15.2.1.12投标人证明其符合招标文件规定的投标人特定资格条件的证书、证明和文件材料；（如有）</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15.2.1.13中小企业声明函（如有）</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15.2.1.14残疾人福利性单位声明函</w:t>
      </w:r>
      <w:bookmarkStart w:id="0" w:name="_Hlk186581680"/>
      <w:r>
        <w:rPr>
          <w:rFonts w:hint="eastAsia" w:ascii="宋体" w:hAnsi="宋体" w:cs="宋体"/>
          <w:sz w:val="24"/>
        </w:rPr>
        <w:t xml:space="preserve">（如有）</w:t>
      </w:r>
      <w:bookmarkEnd w:id="0"/>
      <w:r>
        <w:rPr>
          <w:rFonts w:hint="eastAsia" w:ascii="宋体" w:hAnsi="宋体" w:cs="宋体"/>
          <w:sz w:val="24"/>
        </w:rPr>
        <w:t xml:space="preserve">；</w:t>
      </w:r>
      <w:r/>
    </w:p>
    <w:p>
      <w:pPr>
        <w:ind w:firstLine="361"/>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15.2.2技术部分</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15.2.2.1投标货物数量、品牌规格、材质、性能、交货期说明表（详见文件格式）；</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15.2.2.2技术要求偏离表（详见文件格式）；</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15.2.2.3商务要求偏离表（详见文件格式）；</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15.2.2.4项目的技术及服务方案；</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15.2.2.5项目实施方案和进度方案</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15.2.2.6质量保证措施和承诺；</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15.2.2.7售后服务内容；</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15.2.2.8投入本项目技术（服务）人员一览表及相关证明材料（详见文件格式）；</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15.2.2.9类似项目业绩一览表及相关证明材料（详见文件格式）；</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15.2.2.10其他投标人认为需要提供的材料；</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15.3投标文件由15.1、15.2款规定的内容共同组成。</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16. 投标文件编制要求   </w:t>
      </w:r>
      <w:r/>
    </w:p>
    <w:p>
      <w:pPr>
        <w:ind w:firstLine="424"/>
        <w:spacing w:line="439" w:lineRule="atLeas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16.1</w:t>
      </w:r>
      <w:r>
        <w:rPr>
          <w:rFonts w:hint="eastAsia" w:ascii="宋体" w:hAnsi="宋体" w:cs="宋体"/>
          <w:b/>
          <w:sz w:val="24"/>
        </w:rPr>
        <w:t xml:space="preserve">电子投标文件编制要求：</w:t>
      </w:r>
      <w:r>
        <w:rPr>
          <w:rFonts w:hint="eastAsia" w:ascii="宋体" w:hAnsi="宋体" w:cs="宋体"/>
          <w:sz w:val="24"/>
        </w:rPr>
        <w:t xml:space="preserve">投标人应使用</w:t>
      </w:r>
      <w:r>
        <w:rPr>
          <w:rFonts w:hint="eastAsia" w:ascii="宋体" w:hAnsi="宋体" w:cs="宋体"/>
          <w:b/>
          <w:sz w:val="24"/>
        </w:rPr>
        <w:t xml:space="preserve">招标文件要求的投标文件制作软件制作电子投标文件</w:t>
      </w:r>
      <w:r>
        <w:rPr>
          <w:rFonts w:hint="eastAsia" w:ascii="宋体" w:hAnsi="宋体" w:cs="宋体"/>
          <w:sz w:val="24"/>
        </w:rPr>
        <w:t xml:space="preserve">，电子投标文件按招标文件规定的格式制作，如果未按要求制作上传，可能导致投标无效。</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17. 投标报价（编制）要求的说明</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17.3 一项投标内容只允许一个报价，采购代理机构不接受任何有选择性的投标报价。</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17.4投标文件报价中的单价和总价全部采用人民币表示，除非合同的特殊条款另有规定。</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17.5最低的投标报价或最高的折扣比例是中标的重要条件，但不是中标的唯一条件。</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18. 投标保证金</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本项目无须缴纳投标保证金</w:t>
      </w:r>
      <w:r>
        <w:rPr>
          <w:rFonts w:hint="eastAsia" w:ascii="宋体" w:hAnsi="宋体" w:cs="宋体"/>
          <w:b/>
          <w:sz w:val="24"/>
        </w:rPr>
        <w:t xml:space="preserve">。</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19. 投标文件的有效期</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19.1在本招标文件规定的开标之日起九十（90）天内，投标人所提交的投标文件应保持有效。</w:t>
      </w:r>
      <w:r>
        <w:rPr>
          <w:rFonts w:hint="eastAsia" w:ascii="宋体" w:hAnsi="宋体" w:cs="宋体"/>
          <w:b/>
          <w:sz w:val="24"/>
        </w:rPr>
        <w:t xml:space="preserve">有效期短于这个规定期限的投标文件，将被认定为未实质性响应招标文件要求。</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五、 投标文件的提交、撤回和修改</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20. 投标文件的上传、提交</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20.</w:t>
      </w:r>
      <w:r>
        <w:rPr>
          <w:rFonts w:hint="eastAsia" w:ascii="宋体" w:hAnsi="宋体" w:cs="宋体"/>
          <w:b/>
          <w:sz w:val="24"/>
        </w:rPr>
        <w:t xml:space="preserve">1投标人应将制作好的加密电子投标文件按要求在投标截止时间前上传到交易系统平台中。</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21. 投标截止时间</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21.1</w:t>
      </w:r>
      <w:r>
        <w:rPr>
          <w:rFonts w:hint="eastAsia" w:ascii="宋体" w:hAnsi="宋体" w:cs="宋体"/>
          <w:b/>
          <w:sz w:val="24"/>
        </w:rPr>
        <w:t xml:space="preserve">电子投标文件必须按招标公告中规定的网上投标截止时间前提交</w:t>
      </w:r>
      <w:r>
        <w:rPr>
          <w:rFonts w:hint="eastAsia" w:ascii="宋体" w:hAnsi="宋体" w:cs="宋体"/>
          <w:sz w:val="24"/>
        </w:rPr>
        <w:t xml:space="preserve">，</w:t>
      </w:r>
      <w:r>
        <w:rPr>
          <w:rFonts w:hint="eastAsia" w:ascii="宋体" w:hAnsi="宋体" w:cs="宋体"/>
          <w:b/>
          <w:sz w:val="24"/>
        </w:rPr>
        <w:t xml:space="preserve">否则投标无效</w:t>
      </w:r>
      <w:r>
        <w:rPr>
          <w:rFonts w:hint="eastAsia" w:ascii="宋体" w:hAnsi="宋体" w:cs="宋体"/>
          <w:sz w:val="24"/>
        </w:rPr>
        <w:t xml:space="preserve">。</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21.3在投标截止时间止，采购代理机构于本项目（或标段）收到的电子投标文件少于三份的，采购代理机构有权宣布本项目（或标段）招标失败。</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22. 投标文件的修改和撤回</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22.1投标人在提交投标文件截止时间前，可对其投标文件进行撤回或修改。</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23.2开标后投标人不得撤回投标。</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六、开标和评标</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23. 开标</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23.1采购代理机构按采购公告规定的时间、地点主持不见面开标活动。开标仪式由采购代理机构、采购人等主持。</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23.2</w:t>
      </w:r>
      <w:r>
        <w:rPr>
          <w:rFonts w:hint="eastAsia" w:ascii="宋体" w:hAnsi="宋体" w:cs="宋体"/>
          <w:b/>
          <w:sz w:val="24"/>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23.3</w:t>
      </w:r>
      <w:r>
        <w:rPr>
          <w:rFonts w:hint="eastAsia" w:ascii="宋体" w:hAnsi="宋体" w:cs="宋体"/>
          <w:b/>
          <w:sz w:val="24"/>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23.4采购代理机构在开标仪式上，将公布投标人的名称、投标价格，并将作唱标记录。</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23.5投标人代表对开标过程和开标记录有疑义，以及认为采购人、采购代理机构相关工作人员有需要回避的情形的，</w:t>
      </w:r>
      <w:r>
        <w:rPr>
          <w:rFonts w:hint="eastAsia" w:ascii="宋体" w:hAnsi="宋体" w:cs="宋体"/>
          <w:b/>
          <w:sz w:val="24"/>
        </w:rPr>
        <w:t xml:space="preserve">应通过不见面开标大厅提出</w:t>
      </w:r>
      <w:r>
        <w:rPr>
          <w:rFonts w:hint="eastAsia" w:ascii="宋体" w:hAnsi="宋体" w:cs="宋体"/>
          <w:sz w:val="24"/>
        </w:rPr>
        <w:t xml:space="preserve">询问或者回避申请。采购人、采购代理机构对投标人代表提出的询问或者回避申请应当及时处理。</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24. 评标委员会</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24.1评标委员会由采购人或委托采购代理机构依法组建，负责本项目的评标事务。</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24.2评标委员会独立履行下列职责：</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24.2.1审查投标文件是否符合招标文件的要求，并作出评价；</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24.2.2可以要求投标供应商对投标文件有关事项作出解释或澄清；</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24.2.3推荐中标候选供应商名单，或者受采购人委托按照事先确定的办法直接确定中标供应商；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24.2.4向采购代理机构或者有关部门报告非法干预评标工作的行为；</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24.3评标委员会成员应当履行下列义务：</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24.3.1遵纪守法，客观、公正、廉洁地履行职责；</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24.3.2按照招标文件规定的评标办法和评标标准进行评标，对评审意见承担个人责任；</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24.3.3对评标过程和结果，以及投标人的商业秘密保密；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24.3.4参与评标报告的起草；</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24.3.5配合采购代理机构答复投标供应商提出的质疑；</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24.3.6配合相关部门的投诉处理工作；</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25. 评标内容的保密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25.3在评标期间，采购代理机构将通过指定联络人与投标人进行联系。</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26.对投标文件初审</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26.1投标文件初审分为资格性检查和符合性检查。</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 关于信用记录查询：</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26.1.2.1查询时间：评标开始前</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26.1.2.2查询渠道：通过“信用中国”网站、中国政府采购网等渠道查询相关主体信用记录。</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26.1.2.4信用记录使用规则：评审小组在对供应商进行资格性审查时，应根据查询结果对供应商的不良信用记录逐项甄别确认。</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26.2.1 不同投标人的投标文件由同一单位或者个人编制；</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26.2.2不同投标人委托同一单位或者个人办理投标事宜；</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26.2.3不同投标人的投标文件载明的项目管理成员或者联系人员为同一人；</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26.2.4不同投标人的投标文件异常一致或者投标报价呈规律性差异；</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26.2.5不同投标人的投标文件相互混装；</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26.6评标委员会将对确定为实质性响应的投标进行审核，看其是否有计算上或累加上的算术错误，修正错误的原则如下：</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26.6.1投标文件中开标一览表（报价表）内容与投标文件中相应内容不一致的，以开标一览表（报价表）为准；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26.6.2大写金额和小写金额不一致的，以大写金额为准；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26.6.3单价金额小数点或者百分比有明显错位的，以开标一览表的总价为准，并修改单价；</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26.6.4总价金额与按单价汇总金额不一致的，以单价金额计算结果为准。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同时出现两种以上不一致的，按照前款规定的顺序修正。修正后的报价按照本须知26.6条规定经投标人确认后产生约束力，投标人不确认的，其投标无效。</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26.7评标委员会认为投标人的报价明显低于其他通过符合性审查投标人的报价，有可能影响产品质量或者不能诚信履约的，应当要求其在不见面开标大厅内合理的时间内提供</w:t>
      </w:r>
      <w:r>
        <w:rPr>
          <w:rFonts w:hint="eastAsia" w:ascii="宋体" w:hAnsi="宋体" w:cs="宋体"/>
          <w:b/>
          <w:bCs/>
          <w:sz w:val="24"/>
        </w:rPr>
        <w:t xml:space="preserve">说明，必要时提交相关证明材料：投标人不能证明其报价合理性的，评标委员会应当将其作为无效投标处理。</w:t>
      </w:r>
      <w:r>
        <w:rPr>
          <w:rFonts w:hint="eastAsia" w:ascii="宋体" w:hAnsi="宋体" w:cs="宋体"/>
          <w:b/>
          <w:bCs/>
          <w:sz w:val="24"/>
        </w:rPr>
        <w:br/>
      </w:r>
      <w:r>
        <w:rPr>
          <w:rFonts w:hint="eastAsia" w:ascii="宋体" w:hAnsi="宋体" w:cs="宋体"/>
          <w:b/>
          <w:bCs/>
          <w:sz w:val="24"/>
        </w:rPr>
        <w:t xml:space="preserve">异常低价投标（响应）审查的情形和具体要求如下：</w:t>
      </w:r>
      <w:r>
        <w:rPr>
          <w:rFonts w:hint="eastAsia" w:ascii="宋体" w:hAnsi="宋体" w:cs="宋体"/>
          <w:b/>
          <w:bCs/>
          <w:sz w:val="24"/>
        </w:rPr>
        <w:br/>
      </w:r>
      <w:r>
        <w:rPr>
          <w:rFonts w:hint="eastAsia" w:ascii="宋体" w:hAnsi="宋体" w:cs="宋体"/>
          <w:b/>
          <w:bCs/>
          <w:sz w:val="24"/>
        </w:rPr>
        <w:t xml:space="preserve">   26.7.1投标（响应）报价低于采购项目预算50%的，即投标（响应）报价&lt;采购项目预算x50%；</w:t>
      </w:r>
      <w:r>
        <w:rPr>
          <w:rFonts w:hint="eastAsia" w:ascii="宋体" w:hAnsi="宋体" w:cs="宋体"/>
          <w:b/>
          <w:bCs/>
          <w:sz w:val="24"/>
        </w:rPr>
        <w:br/>
      </w:r>
      <w:r>
        <w:rPr>
          <w:rFonts w:hint="eastAsia" w:ascii="宋体" w:hAnsi="宋体" w:cs="宋体"/>
          <w:b/>
          <w:bCs/>
          <w:sz w:val="24"/>
        </w:rPr>
        <w:t xml:space="preserve">   26.7.2投标（响应）报价低于采购项目最高限价45%的，即投标（响应）报价&lt;采购项目最高限价x45%；</w:t>
      </w:r>
      <w:r>
        <w:rPr>
          <w:rFonts w:hint="eastAsia" w:ascii="宋体" w:hAnsi="宋体" w:cs="宋体"/>
          <w:b/>
          <w:bCs/>
          <w:sz w:val="24"/>
        </w:rPr>
        <w:br/>
      </w:r>
      <w:r>
        <w:rPr>
          <w:rFonts w:hint="eastAsia" w:ascii="宋体" w:hAnsi="宋体" w:cs="宋体"/>
          <w:b/>
          <w:bCs/>
          <w:sz w:val="24"/>
        </w:rPr>
        <w:t xml:space="preserve">   26.7.3评审委员会认定的供应商报价过低、有可能影响产品质量或者不能诚信履约的其他情形。</w:t>
      </w:r>
      <w:r>
        <w:rPr>
          <w:rFonts w:hint="eastAsia" w:ascii="宋体" w:hAnsi="宋体" w:cs="宋体"/>
          <w:b/>
          <w:bCs/>
          <w:sz w:val="24"/>
        </w:rPr>
        <w:br/>
      </w:r>
      <w:r>
        <w:rPr>
          <w:rFonts w:hint="eastAsia" w:ascii="宋体" w:hAnsi="宋体" w:cs="宋体"/>
          <w:b/>
          <w:bCs/>
          <w:sz w:val="24"/>
        </w:rPr>
        <w:t xml:space="preserve">   26.8启动异常低价投标（响应）审查后，评审委员会应当要求相关供应商在评标现场合理的时间内，提供项目具体成本测算等与报价合理性相关的书面说明及相关证明材料，</w:t>
      </w:r>
      <w:r>
        <w:rPr>
          <w:rFonts w:hint="eastAsia" w:ascii="宋体" w:hAnsi="宋体" w:cs="宋体"/>
          <w:b/>
          <w:bCs/>
          <w:sz w:val="24"/>
        </w:rPr>
        <w:br/>
      </w:r>
      <w:r>
        <w:rPr>
          <w:rFonts w:hint="eastAsia" w:ascii="宋体" w:hAnsi="宋体" w:cs="宋体"/>
          <w:b/>
          <w:bCs/>
          <w:sz w:val="24"/>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26.9评标委员会对投标文件的判定，只依据投标内容本身，不依靠开标后的任何外来证明。</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26.10评标委员会将拒绝被确定为非实质性响应的投标，投标人不能通过修正或撤销不符之处而使其投标成为实质性响应的投标。</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27.投标的澄清</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28.无效投标和废标</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28.1无效投标的具体情形有：  </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28.1.1投标文件未按招标文件要求签署、盖章或电子签章的；</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28.1.2不具备招标文件中规定的资格要求的；</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28.1.3报价超过招标文件中规定的预算金额或者最高限价的；</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28.1.4</w:t>
      </w:r>
      <w:r>
        <w:rPr>
          <w:rFonts w:hint="eastAsia" w:ascii="宋体" w:hAnsi="宋体" w:cs="宋体"/>
          <w:b/>
          <w:sz w:val="24"/>
        </w:rPr>
        <w:t xml:space="preserve">不同投标人的投标文件使用同一台电脑编制的；</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28.1.5投标文件含有采购人不能接受的附加条件的；</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28.1.6法律、法规和招标文件规定的其他无效情形。</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 在招标采购中，出现下列情形之一的，应予废标：</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28.2.1符合专业条件的供应商或者对招标文件作实质响应的供应商不足三家的；</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28.2.2出现影响采购公正的违法、违规行为的；</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28.2.3投标人的报价均超过了采购预算，采购人不能支付的；</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28.2.4因重大变故，采购任务取消的。</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28.3 废标后，采购人应当将废标理由通知所有投标人。</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29. 投标文件的评价和比较</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29.2.1服务的质量保证（保障）内容；</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29.2.2服务配备的人员；</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29.2.3投标者的资信情况和履约能力；</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29.2.4投标者提供的其他优惠条件；</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29.2.5参与本项目政府采购工作的态度及信誉；</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29.2.6最低的投标报价或最高的折扣比例是中标的重要条件，但不是唯一条件。</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七、授予合同</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30. 中标供应商的确认          </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30.2经评标委员会评审并确定中标供应商后，采购人或授权采购代理机构将在规定的时间内将中标结果在相关媒体上予以公告。</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30.4质疑函递交地点及联系方式详见公告内容</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31. 合同授予标准</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32. 中标通知书</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32.3</w:t>
      </w:r>
      <w:r>
        <w:rPr>
          <w:rFonts w:hint="eastAsia" w:ascii="宋体" w:hAnsi="宋体" w:cs="宋体"/>
          <w:sz w:val="24"/>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32.4中标通知书将成为合同的组成部分。</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32.5采购代理机构对未中标供应商不承担解释未中标原因的义务。</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33.履约保证金</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33.1中标供应商按合同约定要求提交履约保证金。</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33.2履约保证金用以约束供应商在合同履行中的行为，弥补合同执行中由于自身行为可能给采购人带来的各种损失。</w:t>
      </w:r>
      <w:r/>
    </w:p>
    <w:p>
      <w:pPr>
        <w:ind w:firstLine="360"/>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33.3履约保证金（无息）将在中标供应商合同履行完毕且质保期满后，采购人在五个工作日内退返中标供应商。</w:t>
      </w:r>
      <w:r/>
    </w:p>
    <w:p>
      <w:pPr>
        <w:ind w:firstLine="480"/>
        <w:spacing w:line="43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34. 合同的签订</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34.2中标供应商应按中标通知书中中规定，由法定代表人或授权代理人与采购人代表签订合同，否则按放弃中标权处理。</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34.3签订合同及合同条款应以招标文件和中标供应商的投标文件及其澄清文件为依据。</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八、政府采购相关政策</w:t>
      </w:r>
      <w:r/>
    </w:p>
    <w:p>
      <w:pP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35.节能产品和环境标志产品</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sz w:val="24"/>
        </w:rPr>
        <w:t xml:space="preserve">采购清单产品如属于国家节能或环保品目清单的强制采购产品的，投标人应当选择强制采购产品，并提供由国家确定的认证机构出具的</w:t>
      </w:r>
      <w:r>
        <w:rPr>
          <w:rFonts w:hint="eastAsia" w:ascii="宋体" w:hAnsi="宋体" w:cs="宋体"/>
          <w:b/>
          <w:sz w:val="24"/>
          <w:highlight w:val="none"/>
        </w:rPr>
        <w:t xml:space="preserve">、处于有效期之内的至少二级能效指标节能产品</w:t>
      </w:r>
      <w:r>
        <w:rPr>
          <w:rFonts w:hint="eastAsia" w:ascii="宋体" w:hAnsi="宋体" w:cs="宋体"/>
          <w:b/>
          <w:sz w:val="24"/>
          <w:highlight w:val="none"/>
          <w:lang w:eastAsia="zh-CN"/>
        </w:rPr>
        <w:t xml:space="preserve">，</w:t>
      </w:r>
      <w:r>
        <w:rPr>
          <w:rFonts w:hint="eastAsia" w:ascii="宋体" w:hAnsi="宋体" w:cs="宋体"/>
          <w:b/>
          <w:sz w:val="24"/>
          <w:highlight w:val="none"/>
        </w:rPr>
        <w:t xml:space="preserve">或环境标志产品认证证书，否则视为未实质响应。</w:t>
      </w:r>
      <w:r/>
    </w:p>
    <w:p>
      <w:pPr>
        <w:jc w:val="left"/>
        <w:spacing w:line="440" w:lineRule="exact"/>
        <w:rPr>
          <w:rFonts w:hint="eastAsia" w:ascii="宋体" w:hAnsi="宋体" w:eastAsia="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36.中小企业相关政策：</w:t>
      </w:r>
      <w:r>
        <w:rPr>
          <w:rFonts w:hint="eastAsia" w:ascii="宋体" w:hAnsi="宋体" w:eastAsia="宋体" w:cs="宋体"/>
          <w:sz w:val="24"/>
        </w:rPr>
        <w:br w:type="textWrapping" w:clear="all"/>
      </w:r>
      <w:r>
        <w:rPr>
          <w:rFonts w:hint="eastAsia" w:ascii="宋体" w:hAnsi="宋体" w:eastAsia="宋体" w:cs="宋体"/>
          <w:bCs/>
          <w:color w:val="000000"/>
          <w:sz w:val="24"/>
        </w:rPr>
        <w:t xml:space="preserve">36.1本项目专门面向中小企业采购，执行以下相关政策：</w:t>
      </w:r>
      <w:r>
        <w:rPr>
          <w:rFonts w:hint="eastAsia" w:ascii="宋体" w:hAnsi="宋体" w:eastAsia="宋体" w:cs="宋体"/>
          <w:bCs/>
          <w:color w:val="000000"/>
          <w:sz w:val="24"/>
        </w:rPr>
        <w:br w:type="textWrapping" w:clear="all"/>
      </w:r>
      <w:r>
        <w:rPr>
          <w:rFonts w:hint="eastAsia" w:ascii="宋体" w:hAnsi="宋体" w:eastAsia="宋体" w:cs="宋体"/>
          <w:bCs/>
          <w:color w:val="000000"/>
          <w:sz w:val="24"/>
        </w:rPr>
        <w:t xml:space="preserve">   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Cs/>
          <w:color w:val="000000"/>
          <w:sz w:val="24"/>
        </w:rPr>
        <w:br w:type="textWrapping" w:clear="all"/>
      </w:r>
      <w:r>
        <w:rPr>
          <w:rFonts w:hint="eastAsia" w:ascii="宋体" w:hAnsi="宋体" w:eastAsia="宋体" w:cs="宋体"/>
          <w:bCs/>
          <w:color w:val="000000"/>
          <w:sz w:val="24"/>
        </w:rPr>
        <w:t xml:space="preserve">   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Cs/>
          <w:color w:val="000000"/>
          <w:sz w:val="24"/>
        </w:rPr>
        <w:br w:type="textWrapping" w:clear="all"/>
      </w:r>
      <w:r>
        <w:rPr>
          <w:rFonts w:hint="eastAsia" w:ascii="宋体" w:hAnsi="宋体" w:eastAsia="宋体" w:cs="宋体"/>
          <w:bCs/>
          <w:color w:val="000000"/>
          <w:sz w:val="24"/>
        </w:rPr>
        <w:t xml:space="preserve">    36.1.1中小企业划分：</w:t>
      </w:r>
      <w:r>
        <w:rPr>
          <w:rFonts w:hint="eastAsia" w:ascii="宋体" w:hAnsi="宋体" w:eastAsia="宋体" w:cs="宋体"/>
          <w:bCs/>
          <w:color w:val="000000"/>
          <w:sz w:val="24"/>
        </w:rPr>
        <w:br w:type="textWrapping" w:clear="all"/>
      </w:r>
      <w:r>
        <w:rPr>
          <w:rFonts w:hint="eastAsia" w:ascii="宋体" w:hAnsi="宋体" w:eastAsia="宋体" w:cs="宋体"/>
          <w:bCs/>
          <w:color w:val="000000"/>
          <w:sz w:val="24"/>
        </w:rPr>
        <w:t xml:space="preserve">（1）符合中小企业划分标准的个体工商户，在政府采购活动中视同中小企业。</w:t>
      </w:r>
      <w:r>
        <w:rPr>
          <w:rFonts w:hint="eastAsia" w:ascii="宋体" w:hAnsi="宋体" w:eastAsia="宋体" w:cs="宋体"/>
          <w:bCs/>
          <w:color w:val="000000"/>
          <w:sz w:val="24"/>
        </w:rPr>
        <w:br w:type="textWrapping" w:clear="all"/>
      </w:r>
      <w:r>
        <w:rPr>
          <w:rFonts w:hint="eastAsia" w:ascii="宋体" w:hAnsi="宋体" w:eastAsia="宋体" w:cs="宋体"/>
          <w:bCs/>
          <w:color w:val="000000"/>
          <w:sz w:val="24"/>
        </w:rPr>
        <w:t xml:space="preserve">（2）中小企业划分标准详见“工信部联企业〔2011〕300号通知”</w:t>
      </w:r>
      <w:r>
        <w:rPr>
          <w:rFonts w:hint="eastAsia" w:ascii="宋体" w:hAnsi="宋体" w:eastAsia="宋体" w:cs="宋体"/>
          <w:bCs/>
          <w:color w:val="000000"/>
          <w:sz w:val="24"/>
        </w:rPr>
        <w:br w:type="textWrapping" w:clear="all"/>
      </w:r>
      <w:r>
        <w:rPr>
          <w:rFonts w:hint="eastAsia" w:ascii="宋体" w:hAnsi="宋体" w:eastAsia="宋体" w:cs="宋体"/>
          <w:bCs/>
          <w:color w:val="000000"/>
          <w:sz w:val="24"/>
        </w:rPr>
        <w:t xml:space="preserve">    36.1.2残疾人福利性单位政策：</w:t>
      </w:r>
      <w:r>
        <w:rPr>
          <w:rFonts w:hint="eastAsia" w:ascii="宋体" w:hAnsi="宋体" w:eastAsia="宋体" w:cs="宋体"/>
          <w:bCs/>
          <w:color w:val="000000"/>
          <w:sz w:val="24"/>
        </w:rPr>
        <w:br w:type="textWrapping" w:clear="all"/>
      </w:r>
      <w:r>
        <w:rPr>
          <w:rFonts w:hint="eastAsia" w:ascii="宋体" w:hAnsi="宋体" w:eastAsia="宋体" w:cs="宋体"/>
          <w:bCs/>
          <w:color w:val="000000"/>
          <w:sz w:val="24"/>
        </w:rPr>
        <w:t xml:space="preserve">   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eastAsia="宋体" w:cs="宋体"/>
          <w:bCs/>
          <w:color w:val="000000"/>
          <w:sz w:val="24"/>
        </w:rPr>
        <w:br w:type="textWrapping" w:clear="all"/>
      </w:r>
      <w:r>
        <w:rPr>
          <w:rFonts w:hint="eastAsia" w:ascii="宋体" w:hAnsi="宋体" w:eastAsia="宋体" w:cs="宋体"/>
          <w:bCs/>
          <w:color w:val="000000"/>
          <w:sz w:val="24"/>
        </w:rPr>
        <w:t xml:space="preserve">    36.1.3监狱企业发展政策：</w:t>
      </w:r>
      <w:r>
        <w:rPr>
          <w:rFonts w:hint="eastAsia" w:ascii="宋体" w:hAnsi="宋体" w:eastAsia="宋体" w:cs="宋体"/>
          <w:bCs/>
          <w:color w:val="000000"/>
          <w:sz w:val="24"/>
        </w:rPr>
        <w:br w:type="textWrapping" w:clear="all"/>
      </w:r>
      <w:r>
        <w:rPr>
          <w:rFonts w:hint="eastAsia" w:ascii="宋体" w:hAnsi="宋体" w:eastAsia="宋体" w:cs="宋体"/>
          <w:bCs/>
          <w:color w:val="000000"/>
          <w:sz w:val="24"/>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eastAsia="宋体" w:cs="宋体"/>
          <w:bCs/>
          <w:color w:val="000000"/>
          <w:sz w:val="24"/>
        </w:rPr>
        <w:br w:type="textWrapping" w:clear="all"/>
      </w:r>
      <w:r>
        <w:rPr>
          <w:rFonts w:hint="eastAsia" w:ascii="宋体" w:hAnsi="宋体" w:eastAsia="宋体" w:cs="宋体"/>
          <w:bCs/>
          <w:color w:val="000000"/>
          <w:sz w:val="24"/>
        </w:rPr>
        <w:t xml:space="preserve">    36.1.4、中标、成交供应商享受规定的中小企业扶持政策的，其声明函及相关证明材料应当随中标、成交结果同时公告，接受社会监督。</w:t>
      </w:r>
      <w:r>
        <w:rPr>
          <w:rFonts w:hint="eastAsia" w:ascii="宋体" w:hAnsi="宋体" w:eastAsia="宋体" w:cs="宋体"/>
          <w:bCs/>
          <w:color w:val="000000"/>
          <w:sz w:val="24"/>
        </w:rPr>
        <w:br w:type="textWrapping" w:clear="all"/>
      </w:r>
      <w:r>
        <w:rPr>
          <w:rFonts w:hint="eastAsia" w:ascii="宋体" w:hAnsi="宋体" w:eastAsia="宋体" w:cs="宋体"/>
          <w:bCs/>
          <w:color w:val="000000"/>
          <w:sz w:val="24"/>
        </w:rPr>
        <w:t xml:space="preserve">    36.1.5、专门面向中小企业采购的项目，不再执行价格评审优惠的扶持政策。</w:t>
      </w:r>
      <w:r/>
    </w:p>
    <w:p>
      <w:pPr>
        <w:jc w:val="left"/>
        <w:spacing w:line="44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37.绿色数据中心政策</w:t>
      </w:r>
      <w:r/>
    </w:p>
    <w:p>
      <w:pPr>
        <w:ind w:firstLine="480"/>
        <w:jc w:val="left"/>
        <w:spacing w:line="44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37.1 依据《绿色数据中心政府采购需求标准（试行）》（财办库〔2023〕7 号）文件精神，采购</w:t>
      </w:r>
      <w:r>
        <w:rPr>
          <w:rFonts w:hint="eastAsia" w:ascii="宋体" w:hAnsi="宋体" w:cs="宋体"/>
          <w:sz w:val="24"/>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38.商品包装、快递包装政策</w:t>
      </w:r>
      <w:r/>
    </w:p>
    <w:p>
      <w:pPr>
        <w:ind w:firstLine="480"/>
        <w:spacing w:line="440" w:lineRule="exact"/>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九、其他事项</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39. 监督和公证</w:t>
      </w:r>
      <w:r/>
    </w:p>
    <w:p>
      <w:pPr>
        <w:ind w:firstLine="36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39.1政府有关监督部门将对招投标全过程进行监督。</w:t>
      </w:r>
      <w:r/>
    </w:p>
    <w:p>
      <w:pPr>
        <w:ind w:firstLine="36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39.2采购代理机构的招标过程将依采购人申请，通过公证机关进行公证。</w:t>
      </w:r>
      <w:r/>
    </w:p>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40.未尽事宜</w:t>
      </w:r>
      <w:r/>
    </w:p>
    <w:p>
      <w:pPr>
        <w:spacing w:line="440" w:lineRule="exact"/>
        <w:rPr>
          <w:rFonts w:ascii="宋体" w:hAnsi="宋体" w:cs="宋体"/>
          <w:b/>
          <w:sz w:val="24"/>
        </w:rPr>
      </w:pPr>
      <w:r>
        <w:rPr>
          <w:rFonts w:hint="eastAsia" w:ascii="宋体" w:hAnsi="宋体" w:cs="宋体"/>
          <w:sz w:val="24"/>
        </w:rPr>
        <w:t xml:space="preserve">按《中华人民共和国政府采购法》及其他有关法律法规的规定执行。</w:t>
      </w:r>
      <w:r/>
    </w:p>
    <w:p>
      <w:pPr>
        <w:spacing w:line="500" w:lineRule="exact"/>
        <w:rPr>
          <w:rFonts w:ascii="宋体" w:hAnsi="宋体" w:cs="宋体"/>
          <w:b/>
          <w:sz w:val="24"/>
        </w:rPr>
      </w:pPr>
      <w:r>
        <w:rPr>
          <w:rFonts w:ascii="宋体" w:hAnsi="宋体" w:cs="宋体"/>
          <w:b/>
          <w:sz w:val="24"/>
        </w:rPr>
      </w:r>
      <w:r/>
    </w:p>
    <w:p>
      <w:pPr>
        <w:pStyle w:val="998"/>
        <w:jc w:val="center"/>
        <w:spacing w:line="460" w:lineRule="exact"/>
        <w:rPr>
          <w:rFonts w:hAnsi="宋体" w:eastAsia="宋体" w:cs="宋体"/>
          <w:b/>
          <w:sz w:val="44"/>
          <w:szCs w:val="44"/>
        </w:rPr>
      </w:pPr>
      <w:r>
        <w:rPr>
          <w:rFonts w:hint="eastAsia" w:hAnsi="宋体" w:eastAsia="宋体" w:cs="宋体"/>
          <w:b/>
          <w:sz w:val="44"/>
          <w:szCs w:val="44"/>
        </w:rPr>
        <w:t xml:space="preserve">         </w:t>
      </w:r>
      <w:r/>
    </w:p>
    <w:p>
      <w:pPr>
        <w:pStyle w:val="998"/>
        <w:jc w:val="center"/>
        <w:spacing w:line="460" w:lineRule="exact"/>
        <w:rPr>
          <w:rFonts w:hAnsi="宋体" w:eastAsia="宋体" w:cs="宋体"/>
          <w:b/>
          <w:sz w:val="44"/>
          <w:szCs w:val="44"/>
        </w:rPr>
      </w:pPr>
      <w:r>
        <w:rPr>
          <w:rFonts w:hAnsi="宋体" w:eastAsia="宋体" w:cs="宋体"/>
          <w:b/>
          <w:sz w:val="44"/>
          <w:szCs w:val="44"/>
        </w:rPr>
      </w:r>
      <w:r/>
    </w:p>
    <w:p>
      <w:pPr>
        <w:pStyle w:val="998"/>
        <w:jc w:val="center"/>
        <w:spacing w:line="460" w:lineRule="exact"/>
        <w:rPr>
          <w:rFonts w:hAnsi="宋体" w:eastAsia="宋体" w:cs="宋体"/>
          <w:b/>
          <w:sz w:val="44"/>
          <w:szCs w:val="44"/>
        </w:rPr>
      </w:pPr>
      <w:r>
        <w:rPr>
          <w:rFonts w:hAnsi="宋体" w:eastAsia="宋体" w:cs="宋体"/>
          <w:b/>
          <w:sz w:val="44"/>
          <w:szCs w:val="44"/>
        </w:rPr>
      </w:r>
      <w:r/>
    </w:p>
    <w:p>
      <w:pPr>
        <w:pStyle w:val="998"/>
        <w:jc w:val="center"/>
        <w:spacing w:line="460" w:lineRule="exact"/>
        <w:rPr>
          <w:rFonts w:hAnsi="宋体" w:eastAsia="宋体" w:cs="宋体"/>
          <w:b/>
          <w:sz w:val="44"/>
          <w:szCs w:val="44"/>
        </w:rPr>
      </w:pPr>
      <w:r>
        <w:rPr>
          <w:rFonts w:hAnsi="宋体" w:eastAsia="宋体" w:cs="宋体"/>
          <w:b/>
          <w:sz w:val="44"/>
          <w:szCs w:val="44"/>
        </w:rPr>
      </w:r>
      <w:r/>
    </w:p>
    <w:p>
      <w:pPr>
        <w:pStyle w:val="998"/>
        <w:jc w:val="both"/>
        <w:spacing w:line="460" w:lineRule="exact"/>
        <w:rPr>
          <w:rFonts w:hAnsi="宋体" w:eastAsia="宋体" w:cs="宋体"/>
          <w:b/>
          <w:sz w:val="44"/>
          <w:szCs w:val="44"/>
        </w:rPr>
      </w:pPr>
      <w:r>
        <w:rPr>
          <w:rFonts w:hAnsi="宋体" w:eastAsia="宋体" w:cs="宋体"/>
          <w:b/>
          <w:sz w:val="44"/>
          <w:szCs w:val="44"/>
        </w:rPr>
      </w:r>
      <w:r/>
    </w:p>
    <w:p>
      <w:pPr>
        <w:pStyle w:val="998"/>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998"/>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998"/>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998"/>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998"/>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998"/>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998"/>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998"/>
        <w:jc w:val="center"/>
        <w:spacing w:line="460" w:lineRule="exact"/>
        <w:rPr>
          <w:rFonts w:hint="eastAsia" w:hAnsi="宋体" w:eastAsia="宋体" w:cs="宋体"/>
          <w:b/>
          <w:sz w:val="44"/>
          <w:szCs w:val="44"/>
        </w:rPr>
      </w:pPr>
      <w:r>
        <w:rPr>
          <w:rFonts w:hint="eastAsia" w:hAnsi="宋体" w:eastAsia="宋体" w:cs="宋体"/>
          <w:b/>
          <w:sz w:val="44"/>
          <w:szCs w:val="44"/>
        </w:rPr>
      </w:r>
      <w:r/>
    </w:p>
    <w:p>
      <w:pPr>
        <w:pStyle w:val="998"/>
        <w:jc w:val="center"/>
        <w:spacing w:line="460" w:lineRule="exact"/>
      </w:pPr>
      <w:r>
        <w:rPr>
          <w:rFonts w:hint="eastAsia" w:hAnsi="宋体" w:eastAsia="宋体" w:cs="宋体"/>
          <w:b/>
          <w:sz w:val="44"/>
          <w:szCs w:val="44"/>
        </w:rPr>
        <w:t xml:space="preserve">第三部分 项目需求</w:t>
      </w:r>
      <w:r/>
    </w:p>
    <w:p>
      <w:pPr>
        <w:pStyle w:val="1000"/>
        <w:jc w:val="left"/>
        <w:spacing w:line="500" w:lineRule="exact"/>
        <w:rPr>
          <w:rFonts w:hint="eastAsia" w:ascii="宋体" w:hAnsi="宋体" w:eastAsia="宋体" w:cs="宋体"/>
          <w:b/>
          <w:sz w:val="24"/>
        </w:rPr>
      </w:pPr>
      <w:r>
        <w:rPr>
          <w:rFonts w:hint="eastAsia" w:ascii="宋体" w:hAnsi="宋体" w:eastAsia="宋体" w:cs="宋体"/>
          <w:b/>
          <w:sz w:val="24"/>
        </w:rPr>
        <w:t xml:space="preserve">一、项目概况</w:t>
      </w:r>
      <w:r/>
    </w:p>
    <w:p>
      <w:pPr>
        <w:pStyle w:val="1000"/>
        <w:ind w:firstLine="480"/>
        <w:jc w:val="left"/>
        <w:spacing w:line="50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城厢镇实验小学项目位于城厢镇科技产业园胜泾路西、陈门泾路北，占地占地面积</w:t>
      </w:r>
      <w:r>
        <w:rPr>
          <w:rFonts w:hint="default" w:ascii="宋体" w:hAnsi="宋体" w:eastAsia="宋体" w:cs="宋体"/>
          <w:sz w:val="24"/>
          <w:szCs w:val="24"/>
          <w:lang w:val="en-US" w:eastAsia="zh-CN" w:bidi="ar-SA"/>
        </w:rPr>
        <w:t xml:space="preserve">38161</w:t>
      </w:r>
      <w:r>
        <w:rPr>
          <w:rFonts w:hint="eastAsia" w:ascii="宋体" w:hAnsi="宋体" w:eastAsia="宋体" w:cs="宋体"/>
          <w:sz w:val="24"/>
          <w:szCs w:val="24"/>
          <w:lang w:val="en-US" w:eastAsia="zh-CN" w:bidi="ar-SA"/>
        </w:rPr>
        <w:t xml:space="preserve">平方米，总建筑面积</w:t>
      </w:r>
      <w:r>
        <w:rPr>
          <w:rFonts w:hint="default" w:ascii="宋体" w:hAnsi="宋体" w:eastAsia="宋体" w:cs="宋体"/>
          <w:sz w:val="24"/>
          <w:szCs w:val="24"/>
          <w:lang w:val="en-US" w:eastAsia="zh-CN" w:bidi="ar-SA"/>
        </w:rPr>
        <w:t xml:space="preserve">35229.26</w:t>
      </w:r>
      <w:r>
        <w:rPr>
          <w:rFonts w:hint="eastAsia" w:ascii="宋体" w:hAnsi="宋体" w:eastAsia="宋体" w:cs="宋体"/>
          <w:sz w:val="24"/>
          <w:szCs w:val="24"/>
          <w:lang w:val="en-US" w:eastAsia="zh-CN" w:bidi="ar-SA"/>
        </w:rPr>
        <w:t xml:space="preserve">平方米，学校规划规模</w:t>
      </w:r>
      <w:r>
        <w:rPr>
          <w:rFonts w:hint="default"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轨</w:t>
      </w:r>
      <w:r>
        <w:rPr>
          <w:rFonts w:hint="default" w:ascii="宋体" w:hAnsi="宋体" w:eastAsia="宋体" w:cs="宋体"/>
          <w:sz w:val="24"/>
          <w:szCs w:val="24"/>
          <w:lang w:val="en-US" w:eastAsia="zh-CN" w:bidi="ar-SA"/>
        </w:rPr>
        <w:t xml:space="preserve">36</w:t>
      </w:r>
      <w:r>
        <w:rPr>
          <w:rFonts w:hint="eastAsia" w:ascii="宋体" w:hAnsi="宋体" w:eastAsia="宋体" w:cs="宋体"/>
          <w:sz w:val="24"/>
          <w:szCs w:val="24"/>
          <w:lang w:val="en-US" w:eastAsia="zh-CN" w:bidi="ar-SA"/>
        </w:rPr>
        <w:t xml:space="preserve">班，建成后可新增学位</w:t>
      </w:r>
      <w:r>
        <w:rPr>
          <w:rFonts w:hint="default" w:ascii="宋体" w:hAnsi="宋体" w:eastAsia="宋体" w:cs="宋体"/>
          <w:sz w:val="24"/>
          <w:szCs w:val="24"/>
          <w:lang w:val="en-US" w:eastAsia="zh-CN" w:bidi="ar-SA"/>
        </w:rPr>
        <w:t xml:space="preserve">1620</w:t>
      </w:r>
      <w:r>
        <w:rPr>
          <w:rFonts w:hint="eastAsia" w:ascii="宋体" w:hAnsi="宋体" w:eastAsia="宋体" w:cs="宋体"/>
          <w:sz w:val="24"/>
          <w:szCs w:val="24"/>
          <w:lang w:val="en-US" w:eastAsia="zh-CN" w:bidi="ar-SA"/>
        </w:rPr>
        <w:t xml:space="preserve">个。</w:t>
      </w:r>
      <w:r>
        <w:rPr>
          <w:rFonts w:hint="eastAsia" w:ascii="宋体" w:hAnsi="宋体" w:cs="宋体"/>
          <w:sz w:val="24"/>
          <w:szCs w:val="24"/>
          <w:lang w:val="en-US" w:eastAsia="zh-CN" w:bidi="ar-SA"/>
        </w:rPr>
        <w:t xml:space="preserve">学校建设有包括教学楼、行政图文楼、多功能报告厅、食堂、风雨操场等，将为区内适龄儿童提供更加便捷、优质的教育资源。</w:t>
      </w:r>
      <w:r/>
    </w:p>
    <w:p>
      <w:pPr>
        <w:pStyle w:val="1000"/>
        <w:numPr>
          <w:ilvl w:val="0"/>
          <w:numId w:val="1"/>
        </w:numPr>
        <w:jc w:val="left"/>
        <w:spacing w:line="500" w:lineRule="exact"/>
        <w:rPr>
          <w:rFonts w:hint="eastAsia" w:ascii="宋体" w:hAnsi="宋体" w:cs="宋体"/>
          <w:b/>
          <w:bCs/>
          <w:color w:val="000000"/>
          <w:sz w:val="24"/>
          <w:lang w:val="en-US" w:eastAsia="zh-CN" w:bidi="ar"/>
        </w:rPr>
      </w:pPr>
      <w:r>
        <w:rPr>
          <w:rFonts w:hint="eastAsia" w:ascii="宋体" w:hAnsi="宋体" w:cs="宋体"/>
          <w:b/>
          <w:bCs/>
          <w:color w:val="000000"/>
          <w:sz w:val="24"/>
          <w:lang w:val="en-US" w:eastAsia="zh-CN" w:bidi="ar"/>
        </w:rPr>
        <w:t xml:space="preserve">项目需求</w:t>
      </w:r>
      <w:r/>
    </w:p>
    <w:p>
      <w:pPr>
        <w:pStyle w:val="1000"/>
        <w:numPr>
          <w:ilvl w:val="0"/>
          <w:numId w:val="0"/>
        </w:numPr>
        <w:jc w:val="left"/>
        <w:spacing w:line="500" w:lineRule="exact"/>
        <w:rPr>
          <w:rFonts w:hint="eastAsia" w:ascii="宋体" w:hAnsi="宋体" w:eastAsia="宋体" w:cs="宋体"/>
          <w:sz w:val="24"/>
          <w:szCs w:val="24"/>
        </w:rPr>
      </w:pPr>
      <w:r>
        <w:rPr>
          <w:rFonts w:hint="eastAsia" w:ascii="宋体" w:hAnsi="宋体" w:eastAsia="宋体" w:cs="宋体"/>
          <w:b/>
          <w:sz w:val="24"/>
        </w:rPr>
        <w:t xml:space="preserve">（一）</w:t>
      </w:r>
      <w:r>
        <w:rPr>
          <w:rFonts w:hint="eastAsia" w:ascii="宋体" w:hAnsi="宋体" w:eastAsia="宋体" w:cs="宋体"/>
          <w:b/>
          <w:bCs/>
          <w:color w:val="000000"/>
          <w:sz w:val="24"/>
          <w:lang w:bidi="ar"/>
        </w:rPr>
        <w:t xml:space="preserve">具体产品清单及参数要求</w:t>
      </w:r>
      <w:r/>
    </w:p>
    <w:tbl>
      <w:tblPr>
        <w:tblStyle w:val="800"/>
        <w:tblW w:w="90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4"/>
        <w:gridCol w:w="540"/>
        <w:gridCol w:w="1425"/>
        <w:gridCol w:w="1270"/>
        <w:gridCol w:w="3369"/>
        <w:gridCol w:w="381"/>
        <w:gridCol w:w="508"/>
        <w:gridCol w:w="588"/>
        <w:gridCol w:w="557"/>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规格</w:t>
            </w:r>
            <w:r>
              <w:rPr>
                <w:rFonts w:hint="eastAsia" w:ascii="宋体" w:hAnsi="宋体" w:cs="宋体"/>
                <w:b w:val="0"/>
                <w:bCs w:val="0"/>
                <w:i w:val="0"/>
                <w:iCs w:val="0"/>
                <w:color w:val="000000"/>
                <w:sz w:val="18"/>
                <w:szCs w:val="18"/>
                <w:highlight w:val="none"/>
                <w:u w:val="none"/>
                <w:lang w:val="en-US" w:eastAsia="zh-CN" w:bidi="ar"/>
              </w:rPr>
              <w:t xml:space="preserve">(mm)</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材质</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行业属性</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餐桌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84200" cy="436245"/>
                      <wp:effectExtent l="0" t="0" r="6350" b="190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IMG_256"/>
                              <pic:cNvPicPr>
                                <a:picLocks noChangeAspect="1"/>
                              </pic:cNvPicPr>
                              <pic:nvPr/>
                            </pic:nvPicPr>
                            <pic:blipFill>
                              <a:blip r:embed="rId12"/>
                              <a:stretch/>
                            </pic:blipFill>
                            <pic:spPr bwMode="auto">
                              <a:xfrm>
                                <a:off x="0" y="0"/>
                                <a:ext cx="584200" cy="4362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0pt;height:34.4pt;mso-wrap-distance-left:0.0pt;mso-wrap-distance-top:0.0pt;mso-wrap-distance-right:0.0pt;mso-wrap-distance-bottom:0.0pt;" stroked="f" strokeweight="0.75pt">
                      <v:path textboxrect="0,0,0,0"/>
                      <v:imagedata r:id="rId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长1400*宽700*高750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面材：优质防火板，甲醛释放量符合E0标准；覆面拼贴严密、平整、无脱胶、鼓泡，无裂纹、压痕和划伤；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2、基材：采用优质E0级阻燃实木多层板,优质绿色环保产品,甲醛释放量，总挥发物有机化合物（TVOC）符合国家标准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4、采用环保型白乳胶，符合国家标准，游离甲醛，总挥发性有机物合格。</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5、钢架：采用优质2.0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厚304拉丝不锈钢管。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6、五金件：中性盐雾试验耐腐蚀等级达到10级，耐久性符合国家标准。7、脚套采用可调节脚套。</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6580" cy="681355"/>
                      <wp:effectExtent l="0" t="0" r="13970" b="4445"/>
                      <wp:docPr id="3"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7"/>
                              <pic:cNvPicPr>
                                <a:picLocks noChangeAspect="1"/>
                              </pic:cNvPicPr>
                              <pic:nvPr/>
                            </pic:nvPicPr>
                            <pic:blipFill>
                              <a:blip r:embed="rId13"/>
                              <a:stretch/>
                            </pic:blipFill>
                            <pic:spPr bwMode="auto">
                              <a:xfrm>
                                <a:off x="0" y="0"/>
                                <a:ext cx="576580" cy="6813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4pt;height:53.6pt;mso-wrap-distance-left:0.0pt;mso-wrap-distance-top:0.0pt;mso-wrap-distance-right:0.0pt;mso-wrap-distance-bottom:0.0pt;" stroked="f" strokeweight="0.75pt">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长420*宽350*高780（坐高450）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4、产品的材质、结构安全等GB/T35607-2017《绿色产品评价家具》等标准要求。</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不锈钢连体餐桌椅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4690" cy="662940"/>
                      <wp:effectExtent l="0" t="0" r="10160" b="3810"/>
                      <wp:docPr id="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IMG_258"/>
                              <pic:cNvPicPr>
                                <a:picLocks noChangeAspect="1"/>
                              </pic:cNvPicPr>
                              <pic:nvPr/>
                            </pic:nvPicPr>
                            <pic:blipFill>
                              <a:blip r:embed="rId14"/>
                              <a:stretch/>
                            </pic:blipFill>
                            <pic:spPr bwMode="auto">
                              <a:xfrm>
                                <a:off x="0" y="0"/>
                                <a:ext cx="694690" cy="6629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4.7pt;height:52.2pt;mso-wrap-distance-left:0.0pt;mso-wrap-distance-top:0.0pt;mso-wrap-distance-right:0.0pt;mso-wrap-distance-bottom:0.0pt;" stroked="f" strokeweight="0.75pt">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总尺寸：</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1500*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750桌面尺寸：</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700*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1、桌面采用25mm不锈钢台面，表面采用</w:t>
            </w:r>
            <w:r>
              <w:rPr>
                <w:rFonts w:hint="eastAsia" w:ascii="宋体" w:hAnsi="宋体" w:cs="宋体"/>
                <w:b w:val="0"/>
                <w:bCs w:val="0"/>
                <w:i w:val="0"/>
                <w:iCs w:val="0"/>
                <w:color w:val="000000"/>
                <w:sz w:val="18"/>
                <w:szCs w:val="18"/>
                <w:highlight w:val="none"/>
                <w:u w:val="none"/>
                <w:lang w:val="en-US" w:eastAsia="zh-CN" w:bidi="ar"/>
              </w:rPr>
              <w:t xml:space="preserve">阻燃</w:t>
            </w:r>
            <w:r>
              <w:rPr>
                <w:rFonts w:hint="eastAsia" w:ascii="宋体" w:hAnsi="宋体" w:eastAsia="宋体" w:cs="宋体"/>
                <w:b w:val="0"/>
                <w:bCs w:val="0"/>
                <w:i w:val="0"/>
                <w:iCs w:val="0"/>
                <w:color w:val="000000"/>
                <w:sz w:val="18"/>
                <w:szCs w:val="18"/>
                <w:highlight w:val="none"/>
                <w:u w:val="none"/>
                <w:lang w:val="en-US" w:eastAsia="zh-CN" w:bidi="ar"/>
              </w:rPr>
              <w:t xml:space="preserve">304不锈钢板，厚度≥1.0mm，桌面4角进行打磨处理；内衬：采用环保18mm厚实木多层板；甲醛释放量符合国家E0标准，经防潮、防虫、防腐处理，强度高、刚性好、抗变形，各种物理、化学性能指标均达到国家相关标准。面材标准：表面耐刮、耐磨、耐腐蚀、耐高温、不怕烟头烫，光泽度更好，耐污性更强、耐UV紫外线老化；2、钢架整体采用50*50*1.5mm实厚的304不锈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3、坐板采用25mm不锈钢坐面，表面采用</w:t>
            </w:r>
            <w:r>
              <w:rPr>
                <w:rFonts w:hint="eastAsia" w:ascii="宋体" w:hAnsi="宋体" w:cs="宋体"/>
                <w:b w:val="0"/>
                <w:bCs w:val="0"/>
                <w:i w:val="0"/>
                <w:iCs w:val="0"/>
                <w:color w:val="000000"/>
                <w:sz w:val="18"/>
                <w:szCs w:val="18"/>
                <w:highlight w:val="none"/>
                <w:u w:val="none"/>
                <w:lang w:val="en-US" w:eastAsia="zh-CN" w:bidi="ar"/>
              </w:rPr>
              <w:t xml:space="preserve">304</w:t>
            </w:r>
            <w:r>
              <w:rPr>
                <w:rFonts w:hint="eastAsia" w:ascii="宋体" w:hAnsi="宋体" w:eastAsia="宋体" w:cs="宋体"/>
                <w:b w:val="0"/>
                <w:bCs w:val="0"/>
                <w:i w:val="0"/>
                <w:iCs w:val="0"/>
                <w:color w:val="000000"/>
                <w:sz w:val="18"/>
                <w:szCs w:val="18"/>
                <w:highlight w:val="none"/>
                <w:u w:val="none"/>
                <w:lang w:val="en-US" w:eastAsia="zh-CN" w:bidi="ar"/>
              </w:rPr>
              <w:t xml:space="preserve">不锈钢板，厚度≥1.0mm，桌面4角进行打磨处理；内衬：采用环保18mm厚实木多层板；甲醛释放量符合国家E0标准，经防潮、防虫、防腐处理，强度高、刚性好、抗变形，各种物理、化学性能指标均达到国家相关标准。面材标准：表面耐刮、耐磨、耐腐蚀、耐高温、不怕烟头烫，光泽度更好，耐污性更强、耐UV紫外线老化；</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4690" cy="410210"/>
                      <wp:effectExtent l="0" t="0" r="10160" b="8890"/>
                      <wp:docPr id="5"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9"/>
                              <pic:cNvPicPr>
                                <a:picLocks noChangeAspect="1"/>
                              </pic:cNvPicPr>
                              <pic:nvPr/>
                            </pic:nvPicPr>
                            <pic:blipFill>
                              <a:blip r:embed="rId15"/>
                              <a:stretch/>
                            </pic:blipFill>
                            <pic:spPr bwMode="auto">
                              <a:xfrm>
                                <a:off x="0" y="0"/>
                                <a:ext cx="694690" cy="4102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4.7pt;height:32.3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1900*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架子，钢制焊接，方管脚，钢材壁厚≥2mm，下配塑料脚。所有钢制部分外部满焊无漏焊、焊渣，经砂光、打磨、抛丸前处理后表面采用抗菌环保静电粉末涂料，经高温粉体烤漆，各项检测数据均符合国家标准规定。</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床垫海绵：采用软质聚氨酯泡沫塑料。表面使用抗老化处理，长时间使用不发黄。回弹率≥40%、座感舒适、长时间使用不变形的特性。厚度≥50mm，密度≥40kg/m³。符合GB/T10802-2023《通用软质聚氨酯泡沫塑料》要求。</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06400" cy="615315"/>
                      <wp:effectExtent l="0" t="0" r="12700" b="13335"/>
                      <wp:docPr id="6"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IMG_260"/>
                              <pic:cNvPicPr>
                                <a:picLocks noChangeAspect="1"/>
                              </pic:cNvPicPr>
                              <pic:nvPr/>
                            </pic:nvPicPr>
                            <pic:blipFill>
                              <a:blip r:embed="rId16"/>
                              <a:stretch/>
                            </pic:blipFill>
                            <pic:spPr bwMode="auto">
                              <a:xfrm>
                                <a:off x="0" y="0"/>
                                <a:ext cx="406400" cy="6153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0pt;height:48.4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420*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740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1、整体采用优质加厚PP塑料结构，塑料螺丝连接，结实牢固。</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治疗柜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1515" cy="1037590"/>
                      <wp:effectExtent l="0" t="0" r="13335" b="10160"/>
                      <wp:docPr id="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IMG_261"/>
                              <pic:cNvPicPr>
                                <a:picLocks noChangeAspect="1"/>
                              </pic:cNvPicPr>
                              <pic:nvPr/>
                            </pic:nvPicPr>
                            <pic:blipFill>
                              <a:blip r:embed="rId17"/>
                              <a:stretch/>
                            </pic:blipFill>
                            <pic:spPr bwMode="auto">
                              <a:xfrm>
                                <a:off x="0" y="0"/>
                                <a:ext cx="691515" cy="10375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4.4pt;height:81.7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900*</w:t>
            </w:r>
            <w:r>
              <w:rPr>
                <w:rFonts w:hint="eastAsia" w:ascii="宋体" w:hAnsi="宋体" w:cs="宋体"/>
                <w:b w:val="0"/>
                <w:bCs w:val="0"/>
                <w:i w:val="0"/>
                <w:iCs w:val="0"/>
                <w:color w:val="000000"/>
                <w:sz w:val="18"/>
                <w:szCs w:val="18"/>
                <w:highlight w:val="none"/>
                <w:u w:val="none"/>
                <w:lang w:val="en-US" w:eastAsia="zh-CN" w:bidi="ar"/>
              </w:rPr>
              <w:t xml:space="preserve">下宽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上宽</w:t>
            </w:r>
            <w:r>
              <w:rPr>
                <w:rFonts w:hint="eastAsia" w:ascii="宋体" w:hAnsi="宋体" w:eastAsia="宋体" w:cs="宋体"/>
                <w:b w:val="0"/>
                <w:bCs w:val="0"/>
                <w:i w:val="0"/>
                <w:iCs w:val="0"/>
                <w:color w:val="000000"/>
                <w:sz w:val="18"/>
                <w:szCs w:val="18"/>
                <w:highlight w:val="none"/>
                <w:u w:val="none"/>
                <w:lang w:val="en-US" w:eastAsia="zh-CN" w:bidi="ar"/>
              </w:rPr>
              <w:t xml:space="preserve">250*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1、柜体钢板:采用冷轧钢板，柜体板件采用裸板0.8mm钢板；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2、柜体结构:采用整体焊接式，焊点平整，结构稳固，承重、承压性好；所有部件均经打磨，砂光处理，免除钢板表面的毛刺、棱角;</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3、表面处理:塑粉喷涂，事前经清洗，除油、磷化等前置处理程序;</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4、五金配件：具有安装快速，结构简单，开启灵活、锁具可靠、避免因锁具能够相互打开引发的安全问题。</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诊疗桌（含侧柜）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00405" cy="820420"/>
                      <wp:effectExtent l="0" t="0" r="4445" b="17780"/>
                      <wp:docPr id="8"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IMG_262"/>
                              <pic:cNvPicPr>
                                <a:picLocks noChangeAspect="1"/>
                              </pic:cNvPicPr>
                              <pic:nvPr/>
                            </pic:nvPicPr>
                            <pic:blipFill>
                              <a:blip r:embed="rId18"/>
                              <a:stretch/>
                            </pic:blipFill>
                            <pic:spPr bwMode="auto">
                              <a:xfrm>
                                <a:off x="0" y="0"/>
                                <a:ext cx="700405" cy="8204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5.1pt;height:64.6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2、基材：采用优质E0级三聚氰胺板,优质绿色环保产品,甲醛释放量，总挥发物有机化合物（TVOC）符合国家标准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4、采用环保型白乳胶，HJ2541-2016《环境标志产品技术要求胶粘剂》标准，游离甲醛，总挥发性有机物符合国家标准。</w:t>
            </w:r>
            <w:r>
              <w:rPr>
                <w:rFonts w:hint="eastAsia" w:ascii="宋体" w:hAnsi="宋体" w:cs="宋体"/>
                <w:b w:val="0"/>
                <w:bCs w:val="0"/>
                <w:i w:val="0"/>
                <w:iCs w:val="0"/>
                <w:color w:val="000000"/>
                <w:sz w:val="18"/>
                <w:szCs w:val="18"/>
                <w:highlight w:val="none"/>
                <w:u w:val="none"/>
                <w:lang w:val="en-US" w:eastAsia="zh-CN" w:bidi="ar"/>
              </w:rPr>
              <w:t xml:space="preserve">                      </w:t>
            </w:r>
            <w:r>
              <w:rPr>
                <w:rFonts w:hint="eastAsia" w:ascii="宋体" w:hAnsi="宋体" w:eastAsia="宋体" w:cs="宋体"/>
                <w:b w:val="0"/>
                <w:bCs w:val="0"/>
                <w:i w:val="0"/>
                <w:iCs w:val="0"/>
                <w:color w:val="000000"/>
                <w:sz w:val="18"/>
                <w:szCs w:val="18"/>
                <w:highlight w:val="none"/>
                <w:u w:val="none"/>
                <w:lang w:val="en-US" w:eastAsia="zh-CN" w:bidi="ar"/>
              </w:rPr>
              <w:t xml:space="preserve">5、钢架：采用优质1.5mm厚冷轧钢管，喷涂前使用优质环保磷化液前处理，钢制部件整体使用优质环保塑粉静电喷涂，高温固化，确保质量完美；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序号7和8为一套，最高限价2600元/套(桌+椅)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03580" cy="847725"/>
                      <wp:effectExtent l="0" t="0" r="1270" b="9525"/>
                      <wp:docPr id="9"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IMG_263"/>
                              <pic:cNvPicPr>
                                <a:picLocks noChangeAspect="1"/>
                              </pic:cNvPicPr>
                              <pic:nvPr/>
                            </pic:nvPicPr>
                            <pic:blipFill>
                              <a:blip r:embed="rId19"/>
                              <a:stretch/>
                            </pic:blipFill>
                            <pic:spPr bwMode="auto">
                              <a:xfrm>
                                <a:off x="0" y="0"/>
                                <a:ext cx="703580"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5.4pt;height:66.8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诊疗椅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0400" cy="833120"/>
                      <wp:effectExtent l="0" t="0" r="6350" b="5080"/>
                      <wp:docPr id="10"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 descr="IMG_264"/>
                              <pic:cNvPicPr>
                                <a:picLocks noChangeAspect="1"/>
                              </pic:cNvPicPr>
                              <pic:nvPr/>
                            </pic:nvPicPr>
                            <pic:blipFill>
                              <a:blip r:embed="rId20"/>
                              <a:stretch/>
                            </pic:blipFill>
                            <pic:spPr bwMode="auto">
                              <a:xfrm>
                                <a:off x="0" y="0"/>
                                <a:ext cx="660400" cy="8331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2.0pt;height:65.6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长460*宽440*高870（坐高450）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1.实木弯曲木脚符合国家标准，甲醛释放量符合标准；覆面拼贴严密、平整、无脱胶、鼓泡，无裂纹、压痕和划伤；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2.靠背护腰曲线设计符合人体工学，全新PP材质一体成型，重金属，苯并芘，16种多环芳烃总量均符合国家标准。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3.尼龙脚塞，防滑耐磨</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办公室置物柜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1670" cy="1045210"/>
                      <wp:effectExtent l="0" t="0" r="5080" b="2540"/>
                      <wp:docPr id="11"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IMG_265"/>
                              <pic:cNvPicPr>
                                <a:picLocks noChangeAspect="1"/>
                              </pic:cNvPicPr>
                              <pic:nvPr/>
                            </pic:nvPicPr>
                            <pic:blipFill>
                              <a:blip r:embed="rId21"/>
                              <a:stretch/>
                            </pic:blipFill>
                            <pic:spPr bwMode="auto">
                              <a:xfrm>
                                <a:off x="0" y="0"/>
                                <a:ext cx="661670" cy="10452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2.1pt;height:82.3pt;mso-wrap-distance-left:0.0pt;mso-wrap-distance-top:0.0pt;mso-wrap-distance-right:0.0pt;mso-wrap-distance-bottom:0.0pt;" stroked="f" strokeweight="0.75pt">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长800*宽400*高2000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3"/>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采用25MM及16MME0级</w:t>
            </w:r>
            <w:r>
              <w:rPr>
                <w:rFonts w:hint="eastAsia" w:ascii="宋体" w:hAnsi="宋体" w:cs="宋体"/>
                <w:b w:val="0"/>
                <w:bCs w:val="0"/>
                <w:i w:val="0"/>
                <w:iCs w:val="0"/>
                <w:color w:val="000000"/>
                <w:sz w:val="18"/>
                <w:szCs w:val="18"/>
                <w:highlight w:val="none"/>
                <w:u w:val="none"/>
                <w:lang w:val="en-US" w:eastAsia="zh-CN" w:bidi="ar"/>
              </w:rPr>
              <w:t xml:space="preserve">阻燃双饰面刨花板</w:t>
            </w:r>
            <w:r>
              <w:rPr>
                <w:rFonts w:hint="eastAsia" w:ascii="宋体" w:hAnsi="宋体" w:eastAsia="宋体" w:cs="宋体"/>
                <w:b w:val="0"/>
                <w:bCs w:val="0"/>
                <w:i w:val="0"/>
                <w:iCs w:val="0"/>
                <w:color w:val="000000"/>
                <w:sz w:val="18"/>
                <w:szCs w:val="18"/>
                <w:highlight w:val="none"/>
                <w:u w:val="none"/>
                <w:lang w:val="en-US" w:eastAsia="zh-CN" w:bidi="ar"/>
              </w:rPr>
              <w:t xml:space="preserve">，静曲强度、弹性模量、内结合强度、表面胶合强度均要求合格。甲醛释放量符合检测结果，TVOC（总挥发性有机化合物）含量符合国家标准。</w:t>
            </w:r>
            <w:r/>
          </w:p>
          <w:p>
            <w:pPr>
              <w:numPr>
                <w:ilvl w:val="0"/>
                <w:numId w:val="3"/>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封边：采用同色PVC封边，无缝封边，具有良好的耐气候性能，不易受环境、温度变化而产生收缩、膨胀的问题。封边处无脱胶、鼓泡、透胶、露底。甲醛释放量符合检测结果。</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柜面：外表光洁，无污斑，无划痕、无光泽不均、无鼓泡、鼓包、厚度偏差±3mm，垂直度偏差≤2mm/m，边缘直度偏差≤1mm/m、平整度偏差≤1%，表面耐冷热循环、表面耐划痕、表面耐磨、表面耐香烟灼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4、铰链：中性盐雾试验耐腐蚀等级达到10级，操作力、功能：垂直静载荷、水平静载荷、耐久性、下沉量符合国家标准。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5、拉手：边缘圆滑，贴合手指着力点，轻松拉合，无需费力。外表光洁，无污渍，无划痕，无明显色差。耐老化性：外观颜色变色评级达到4级，重金属(可溶性铅、可溶性镉、可溶性鉻、可溶性汞）均≤5mg/kg。</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6、锁具电镀件外露表面应色泽均匀，电镀层无剥落，无反锈，无起泡，无裂纹，无花斑。电镀件耐腐蚀（经过100h的中性盐雾试验后）外观评级达到10级。电镀件耐腐蚀符合国家标准。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最高限价1000元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819150"/>
                      <wp:effectExtent l="0" t="0" r="0" b="0"/>
                      <wp:docPr id="12"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IMG_266"/>
                              <pic:cNvPicPr>
                                <a:picLocks noChangeAspect="1"/>
                              </pic:cNvPicPr>
                              <pic:nvPr/>
                            </pic:nvPicPr>
                            <pic:blipFill>
                              <a:blip r:embed="rId22"/>
                              <a:stretch/>
                            </pic:blipFill>
                            <pic:spPr bwMode="auto">
                              <a:xfrm>
                                <a:off x="0" y="0"/>
                                <a:ext cx="838200" cy="8191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6.0pt;height:64.5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长1200*宽400*高800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w:t>
            </w:r>
            <w:r>
              <w:rPr>
                <w:rFonts w:hint="eastAsia" w:ascii="宋体" w:hAnsi="宋体" w:eastAsia="宋体" w:cs="宋体"/>
                <w:b w:val="0"/>
                <w:bCs w:val="0"/>
                <w:i w:val="0"/>
                <w:iCs w:val="0"/>
                <w:color w:val="000000"/>
                <w:sz w:val="18"/>
                <w:szCs w:val="18"/>
                <w:highlight w:val="none"/>
                <w:u w:val="none"/>
                <w:lang w:val="en-US" w:eastAsia="zh-CN" w:bidi="ar"/>
              </w:rPr>
              <w:t xml:space="preserve">高限价700元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838200"/>
                      <wp:effectExtent l="0" t="0" r="0" b="0"/>
                      <wp:docPr id="13"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IMG_267"/>
                              <pic:cNvPicPr>
                                <a:picLocks noChangeAspect="1"/>
                              </pic:cNvPicPr>
                              <pic:nvPr/>
                            </pic:nvPicPr>
                            <pic:blipFill>
                              <a:blip r:embed="rId23"/>
                              <a:stretch/>
                            </pic:blipFill>
                            <pic:spPr bwMode="auto">
                              <a:xfrm>
                                <a:off x="0" y="0"/>
                                <a:ext cx="838200" cy="838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6.0pt;height:66.0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长1500*宽500*高2000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1、采用组合式结构，不用任何螺栓，安装拆卸方便；每层承载可达300kg；钢材厚度1.2mm,带加强筋，表面需经酸洗、磷化、静电喷涂等工序，经防腐、防锈静电喷塑处理，坚固耐用</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休息椅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409575"/>
                      <wp:effectExtent l="0" t="0" r="0" b="9525"/>
                      <wp:docPr id="14"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3" descr="IMG_268"/>
                              <pic:cNvPicPr>
                                <a:picLocks noChangeAspect="1"/>
                              </pic:cNvPicPr>
                              <pic:nvPr/>
                            </pic:nvPicPr>
                            <pic:blipFill>
                              <a:blip r:embed="rId24"/>
                              <a:stretch/>
                            </pic:blipFill>
                            <pic:spPr bwMode="auto">
                              <a:xfrm>
                                <a:off x="0" y="0"/>
                                <a:ext cx="838200" cy="409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6.0pt;height:32.2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长1200*宽350*高450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1、面料：座垫采用优质PU皮，厚度至少不能小于1.2mm，颜色可选。</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2、海棉：采用优质阻燃高弹海绵；</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3、框架：采用电镀优质冷轧钢管，表面除油除锈、磷化处理。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4、喷涂：采用防静电环氧基粉沫喷涂。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5、连接件：选用优质钢质螺钉、螺毛帽，达到保持每个部件的质量稳定与一致。</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1285875"/>
                      <wp:effectExtent l="0" t="0" r="0" b="9525"/>
                      <wp:docPr id="15"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4" descr="IMG_269"/>
                              <pic:cNvPicPr>
                                <a:picLocks noChangeAspect="1"/>
                              </pic:cNvPicPr>
                              <pic:nvPr/>
                            </pic:nvPicPr>
                            <pic:blipFill>
                              <a:blip r:embed="rId25"/>
                              <a:stretch/>
                            </pic:blipFill>
                            <pic:spPr bwMode="auto">
                              <a:xfrm>
                                <a:off x="0" y="0"/>
                                <a:ext cx="838200" cy="1285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6.0pt;height:101.2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长900*宽500*高1850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1、柜体钢板:采用冷轧钢板，柜体板件采用裸板0.8mm钢板；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2、柜体结构:采用整体焊接式，焊点平整，结构稳固，承重、承压性好；所有部件均经打磨，砂光处理，免除钢板表面的毛刺、棱角;</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3、表面处理:塑粉喷涂，事前经清洗，除油、磷化等前置处理程序;</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4、五金配件：具有安装快速，结构简单，开启灵活、锁具可靠、避免因锁具能够相互打开引发的安全问题。</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四门更衣柜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1438275"/>
                      <wp:effectExtent l="0" t="0" r="0" b="9525"/>
                      <wp:docPr id="16"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5" descr="IMG_270"/>
                              <pic:cNvPicPr>
                                <a:picLocks noChangeAspect="1"/>
                              </pic:cNvPicPr>
                              <pic:nvPr/>
                            </pic:nvPicPr>
                            <pic:blipFill>
                              <a:blip r:embed="rId26"/>
                              <a:stretch/>
                            </pic:blipFill>
                            <pic:spPr bwMode="auto">
                              <a:xfrm>
                                <a:off x="0" y="0"/>
                                <a:ext cx="838200" cy="1438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0pt;height:113.2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长900*宽500*高1850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1、柜体钢板:采用冷轧钢板，柜体板件采用裸板0.8mm钢板；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2、柜体结构:采用整体焊接式，焊点平整，结构稳固，承重、承压性好；所有部件均经打磨，砂光处理，免除钢板表面的毛刺、棱角;</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3、表面处理:塑粉喷涂，事前经清洗，除油、磷化等前置处理程序;</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4、五金配件：具有安装快速，结构简单，开启灵活、锁具可靠、避免因锁具能够相互打开引发的安全问题。</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钢木叠叠凳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81965" cy="1112520"/>
                      <wp:effectExtent l="0" t="0" r="13335" b="11430"/>
                      <wp:docPr id="17"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descr="IMG_271"/>
                              <pic:cNvPicPr>
                                <a:picLocks noChangeAspect="1"/>
                              </pic:cNvPicPr>
                              <pic:nvPr/>
                            </pic:nvPicPr>
                            <pic:blipFill>
                              <a:blip r:embed="rId27"/>
                              <a:stretch/>
                            </pic:blipFill>
                            <pic:spPr bwMode="auto">
                              <a:xfrm>
                                <a:off x="0" y="0"/>
                                <a:ext cx="481965" cy="11125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7.9pt;height:87.6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直径300（座高420）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5、钢管：采用钢管厚度1.5mm，抗拉强度、下屈服强度、规定塑性延伸强度、铜盐加速乙酸盐雾试验、符合国家相关标准。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换鞋凳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both"/>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78180" cy="277495"/>
                      <wp:effectExtent l="0" t="0" r="7620" b="8255"/>
                      <wp:docPr id="18"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7" descr="IMG_272"/>
                              <pic:cNvPicPr>
                                <a:picLocks noChangeAspect="1"/>
                              </pic:cNvPicPr>
                              <pic:nvPr/>
                            </pic:nvPicPr>
                            <pic:blipFill>
                              <a:blip r:embed="rId28"/>
                              <a:stretch/>
                            </pic:blipFill>
                            <pic:spPr bwMode="auto">
                              <a:xfrm>
                                <a:off x="0" y="0"/>
                                <a:ext cx="678180" cy="2774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53.4pt;height:21.8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长1200*宽400*高420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1、基材：采用25MM及16MM优质刨花板，甲醛释放量达到E0级标准。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2、封边:采用优质环保不低于1mm厚，PVC封边，耐磨，耐开裂，耐冷热循环，标准符合QB/T4463-2013《家具用封边条技术要求》，高密封性不吸水、不膨胀。</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3、覆面:采用优质环保布绒覆面，表面光泽度好，不裂面，无管皱透气性强，柔软有韧性。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4、阻燃海绵：采用优质高密度、高回弹环保PU阻燃海绵，高回弹阻燃海绵回弹力≥55%；拉伸强度≥140%，优质环保胶粘剂粘接，表面涂有防氧化保护层。含软包座垫。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广播桌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53110" cy="521970"/>
                      <wp:effectExtent l="0" t="0" r="8890" b="11430"/>
                      <wp:docPr id="19"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8" descr="IMG_273"/>
                              <pic:cNvPicPr>
                                <a:picLocks noChangeAspect="1"/>
                              </pic:cNvPicPr>
                              <pic:nvPr/>
                            </pic:nvPicPr>
                            <pic:blipFill>
                              <a:blip r:embed="rId29"/>
                              <a:stretch/>
                            </pic:blipFill>
                            <pic:spPr bwMode="auto">
                              <a:xfrm>
                                <a:off x="0" y="0"/>
                                <a:ext cx="753110" cy="5219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3pt;height:41.1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长1400*宽700*高750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，甲醛释放量，总挥发物有机化合物合格。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3、封边：采用优质PVC树脂封边条同色封边，符合QB/T4463-2013标准要求，甲醛释放量合格，可溶性铅、可溶性铬、可溶性镉、可溶性汞、可溶性硒均为未检出，封边严密、平整、无脱胶、表面无胶渍。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；HJ2541-2016《环境标志产品技术要求胶粘剂》标准，游离甲醛，总挥发性有机物合格。5、五金件：中性盐雾试验耐腐蚀等级达到10级，耐久性符合国家标准。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广播配</w:t>
            </w:r>
            <w:r>
              <w:rPr>
                <w:rFonts w:hint="eastAsia" w:ascii="宋体" w:hAnsi="宋体" w:eastAsia="宋体" w:cs="宋体"/>
                <w:b w:val="0"/>
                <w:bCs w:val="0"/>
                <w:i w:val="0"/>
                <w:iCs w:val="0"/>
                <w:color w:val="000000"/>
                <w:sz w:val="18"/>
                <w:szCs w:val="18"/>
                <w:highlight w:val="none"/>
                <w:u w:val="none"/>
                <w:lang w:val="en-US" w:eastAsia="zh-CN" w:bidi="ar"/>
              </w:rPr>
              <w:t xml:space="preserve">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20090" cy="867410"/>
                      <wp:effectExtent l="0" t="0" r="3810" b="8890"/>
                      <wp:docPr id="20"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descr="IMG_274"/>
                              <pic:cNvPicPr>
                                <a:picLocks noChangeAspect="1"/>
                              </pic:cNvPicPr>
                              <pic:nvPr/>
                            </pic:nvPicPr>
                            <pic:blipFill>
                              <a:blip r:embed="rId30"/>
                              <a:stretch/>
                            </pic:blipFill>
                            <pic:spPr bwMode="auto">
                              <a:xfrm>
                                <a:off x="0" y="0"/>
                                <a:ext cx="720090" cy="8674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6.7pt;height:68.3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办公桌（含侧柜）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both"/>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35000" cy="461645"/>
                      <wp:effectExtent l="0" t="0" r="12700" b="14604"/>
                      <wp:docPr id="21"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0" descr="IMG_275"/>
                              <pic:cNvPicPr>
                                <a:picLocks noChangeAspect="1"/>
                              </pic:cNvPicPr>
                              <pic:nvPr/>
                            </pic:nvPicPr>
                            <pic:blipFill>
                              <a:blip r:embed="rId31"/>
                              <a:stretch/>
                            </pic:blipFill>
                            <pic:spPr bwMode="auto">
                              <a:xfrm>
                                <a:off x="0" y="0"/>
                                <a:ext cx="635000" cy="4616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0.0pt;height:36.4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长1500*宽1500*高1100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，甲醛释放量，总挥发物有机化合物合格。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3、封边：采用优质PVC树脂封边条同色封边，符合QB/T4463-2013标准要求，甲醛释放量合格，可溶性铅、可溶性铬、可溶性镉、可溶性汞、可溶性硒均为未检出，封边严密、平整、无脱胶、表面无胶渍。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；HJ2541-2016《环境标志产品技术要求胶粘剂》标准，游离甲醛，总挥发性有机物合格。5、五金件：中性盐雾试验耐腐蚀等级达到10级，耐久性符合国家标准。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w:t>
            </w:r>
            <w:r>
              <w:rPr>
                <w:rFonts w:hint="eastAsia" w:ascii="宋体" w:hAnsi="宋体" w:cs="宋体"/>
                <w:b w:val="0"/>
                <w:bCs w:val="0"/>
                <w:i w:val="0"/>
                <w:iCs w:val="0"/>
                <w:color w:val="000000"/>
                <w:sz w:val="18"/>
                <w:szCs w:val="18"/>
                <w:highlight w:val="none"/>
                <w:u w:val="none"/>
                <w:lang w:val="en-US" w:eastAsia="zh-CN" w:bidi="ar"/>
              </w:rPr>
              <w:t xml:space="preserve">20</w:t>
            </w:r>
            <w:r>
              <w:rPr>
                <w:rFonts w:hint="eastAsia" w:ascii="宋体" w:hAnsi="宋体" w:eastAsia="宋体" w:cs="宋体"/>
                <w:b w:val="0"/>
                <w:bCs w:val="0"/>
                <w:i w:val="0"/>
                <w:iCs w:val="0"/>
                <w:color w:val="000000"/>
                <w:sz w:val="18"/>
                <w:szCs w:val="18"/>
                <w:highlight w:val="none"/>
                <w:u w:val="none"/>
                <w:lang w:val="en-US" w:eastAsia="zh-CN" w:bidi="ar"/>
              </w:rPr>
              <w:t xml:space="preserve">和</w:t>
            </w:r>
            <w:r>
              <w:rPr>
                <w:rFonts w:hint="eastAsia" w:ascii="宋体" w:hAnsi="宋体" w:cs="宋体"/>
                <w:b w:val="0"/>
                <w:bCs w:val="0"/>
                <w:i w:val="0"/>
                <w:iCs w:val="0"/>
                <w:color w:val="000000"/>
                <w:sz w:val="18"/>
                <w:szCs w:val="18"/>
                <w:highlight w:val="none"/>
                <w:u w:val="none"/>
                <w:lang w:val="en-US" w:eastAsia="zh-CN" w:bidi="ar"/>
              </w:rPr>
              <w:t xml:space="preserve">21</w:t>
            </w:r>
            <w:r>
              <w:rPr>
                <w:rFonts w:hint="eastAsia" w:ascii="宋体" w:hAnsi="宋体" w:eastAsia="宋体" w:cs="宋体"/>
                <w:b w:val="0"/>
                <w:bCs w:val="0"/>
                <w:i w:val="0"/>
                <w:iCs w:val="0"/>
                <w:color w:val="000000"/>
                <w:sz w:val="18"/>
                <w:szCs w:val="18"/>
                <w:highlight w:val="none"/>
                <w:u w:val="none"/>
                <w:lang w:val="en-US" w:eastAsia="zh-CN" w:bidi="ar"/>
              </w:rPr>
              <w:t xml:space="preserve">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866140"/>
                      <wp:effectExtent l="0" t="0" r="0" b="10160"/>
                      <wp:docPr id="22"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1" descr="IMG_276"/>
                              <pic:cNvPicPr>
                                <a:picLocks noChangeAspect="1"/>
                              </pic:cNvPicPr>
                              <pic:nvPr/>
                            </pic:nvPicPr>
                            <pic:blipFill>
                              <a:blip r:embed="rId32"/>
                              <a:stretch/>
                            </pic:blipFill>
                            <pic:spPr bwMode="auto">
                              <a:xfrm>
                                <a:off x="0" y="0"/>
                                <a:ext cx="609600" cy="866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8.0pt;height:68.2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长645*宽600*高（1190-1250）（座高420-480）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1、椅背：阻燃尼龙塑料、网布结构，网布须符合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。具有透气性和防静电性能，耐磨性强，厚度≥1.0mm。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2、背框：全新PP一次注塑成型背框，内外框结构，结构坚固。</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3、坐垫：纤维织物（网布），具有耐磨性。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4、海绵：软质聚氨酯泡沫塑料，回弹性与透气性好、坐感舒适，不易变形，密度≥35kg/m³，海绵厚度≥40mm。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5、座板：采用≥15mm多层曲木板热压成型，板材绿色环保，经防潮、防腐、防蛀等化学处理。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6、扶手：PP塑料固定扶手。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7、底盘：采用安全可锁定同步倾仰底盘，由≥3.2mm钢板压制而成，经防腐处理。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8、气压棒：金属气压棒，升降行程60mm，棒芯壁厚须符合GB/T29525-2013《座椅升降气弹簧技术条件》要求。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9、椅轮：塑料五星脚，直径330mm。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10、脚轮：万向轮，尼龙材质，直径50mm，具有锁定功能，滑动时无杂音、活动自如。</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升降课桌、升降课椅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45490" cy="838835"/>
                      <wp:effectExtent l="0" t="0" r="16510" b="18415"/>
                      <wp:docPr id="23"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2" descr="IMG_277"/>
                              <pic:cNvPicPr>
                                <a:picLocks noChangeAspect="1"/>
                              </pic:cNvPicPr>
                              <pic:nvPr/>
                            </pic:nvPicPr>
                            <pic:blipFill>
                              <a:blip r:embed="rId33"/>
                              <a:stretch/>
                            </pic:blipFill>
                            <pic:spPr bwMode="auto">
                              <a:xfrm>
                                <a:off x="0" y="0"/>
                                <a:ext cx="745490" cy="8388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7pt;height:66.0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桌子</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660*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470*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640-790</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椅子</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395*</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390*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360-460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课桌：</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A.ABS原料桌面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1.材质：采用环保高抗冲耐高温ABS原料粒子一次新料一体射出成型，耐冲击强度须能承受10磅榔头重力锤击不得破裂，不得采用回收料生产。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2.桌面尺寸：660mm×470mm×25mm，桌面四周厚度≥5mm。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(1)桌面靠胸前端处有下沿沙滩式设计。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(2)四周及底部完全不得有毛边。</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(3)表面得需有细蚀纹(咬花),不得有反光现象。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(4)桌面前端处设置一个长方形的文具槽；总尺寸：长500mm×宽30mm×下深4mm；文具槽分为左右两段，左侧180mm，右侧320mm；为便于文具管理，在文具槽中间设计隔断，可固定笔的位置；</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（5）文具槽后方有一条从0-50</w:t>
            </w:r>
            <w:r>
              <w:rPr>
                <w:rFonts w:hint="eastAsia" w:ascii="宋体" w:hAnsi="宋体" w:cs="宋体"/>
                <w:b w:val="0"/>
                <w:bCs w:val="0"/>
                <w:i w:val="0"/>
                <w:iCs w:val="0"/>
                <w:color w:val="000000"/>
                <w:sz w:val="18"/>
                <w:szCs w:val="18"/>
                <w:highlight w:val="none"/>
                <w:u w:val="none"/>
                <w:lang w:val="en-US" w:eastAsia="zh-CN" w:bidi="ar"/>
              </w:rPr>
              <w:t xml:space="preserve">cm</w:t>
            </w:r>
            <w:r>
              <w:rPr>
                <w:rFonts w:hint="eastAsia" w:ascii="宋体" w:hAnsi="宋体" w:eastAsia="宋体" w:cs="宋体"/>
                <w:b w:val="0"/>
                <w:bCs w:val="0"/>
                <w:i w:val="0"/>
                <w:iCs w:val="0"/>
                <w:color w:val="000000"/>
                <w:sz w:val="18"/>
                <w:szCs w:val="18"/>
                <w:highlight w:val="none"/>
                <w:u w:val="none"/>
                <w:lang w:val="en-US" w:eastAsia="zh-CN" w:bidi="ar"/>
              </w:rPr>
              <w:t xml:space="preserve">刻度，刻度向上凸起有质感，并与桌面一体注塑成型，不得采用激光打印及丝网印刷。</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cs="宋体"/>
                <w:b w:val="0"/>
                <w:bCs w:val="0"/>
                <w:i w:val="0"/>
                <w:iCs w:val="0"/>
                <w:color w:val="000000"/>
                <w:sz w:val="18"/>
                <w:szCs w:val="18"/>
                <w:highlight w:val="none"/>
                <w:u w:val="none"/>
                <w:lang w:val="en-US" w:eastAsia="zh-CN" w:bidi="ar"/>
              </w:rPr>
              <w:t xml:space="preserve">6</w:t>
            </w:r>
            <w:r>
              <w:rPr>
                <w:rFonts w:hint="eastAsia" w:ascii="宋体" w:hAnsi="宋体" w:eastAsia="宋体" w:cs="宋体"/>
                <w:b w:val="0"/>
                <w:bCs w:val="0"/>
                <w:i w:val="0"/>
                <w:iCs w:val="0"/>
                <w:color w:val="000000"/>
                <w:sz w:val="18"/>
                <w:szCs w:val="18"/>
                <w:highlight w:val="none"/>
                <w:u w:val="none"/>
                <w:lang w:val="en-US" w:eastAsia="zh-CN" w:bidi="ar"/>
              </w:rPr>
              <w:t xml:space="preserve">）课桌面板左右设有一条长375mm*宽10mm的防滑落凸条。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cs="宋体"/>
                <w:b w:val="0"/>
                <w:bCs w:val="0"/>
                <w:i w:val="0"/>
                <w:iCs w:val="0"/>
                <w:color w:val="000000"/>
                <w:sz w:val="18"/>
                <w:szCs w:val="18"/>
                <w:highlight w:val="none"/>
                <w:u w:val="none"/>
                <w:lang w:val="en-US" w:eastAsia="zh-CN" w:bidi="ar"/>
              </w:rPr>
              <w:t xml:space="preserve">7</w:t>
            </w:r>
            <w:r>
              <w:rPr>
                <w:rFonts w:hint="eastAsia" w:ascii="宋体" w:hAnsi="宋体" w:eastAsia="宋体" w:cs="宋体"/>
                <w:b w:val="0"/>
                <w:bCs w:val="0"/>
                <w:i w:val="0"/>
                <w:iCs w:val="0"/>
                <w:color w:val="000000"/>
                <w:sz w:val="18"/>
                <w:szCs w:val="18"/>
                <w:highlight w:val="none"/>
                <w:u w:val="none"/>
                <w:lang w:val="en-US" w:eastAsia="zh-CN" w:bidi="ar"/>
              </w:rPr>
              <w:t xml:space="preserve">）面板正前方设有一条长660mm*宽10mm的防滑落凸条与左右两边防滑落凸条相连接。</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cs="宋体"/>
                <w:b w:val="0"/>
                <w:bCs w:val="0"/>
                <w:i w:val="0"/>
                <w:iCs w:val="0"/>
                <w:color w:val="000000"/>
                <w:sz w:val="18"/>
                <w:szCs w:val="18"/>
                <w:highlight w:val="none"/>
                <w:u w:val="none"/>
                <w:lang w:val="en-US" w:eastAsia="zh-CN" w:bidi="ar"/>
              </w:rPr>
              <w:t xml:space="preserve">8</w:t>
            </w:r>
            <w:r>
              <w:rPr>
                <w:rFonts w:hint="eastAsia" w:ascii="宋体" w:hAnsi="宋体" w:eastAsia="宋体" w:cs="宋体"/>
                <w:b w:val="0"/>
                <w:bCs w:val="0"/>
                <w:i w:val="0"/>
                <w:iCs w:val="0"/>
                <w:color w:val="000000"/>
                <w:sz w:val="18"/>
                <w:szCs w:val="18"/>
                <w:highlight w:val="none"/>
                <w:u w:val="none"/>
                <w:lang w:val="en-US" w:eastAsia="zh-CN" w:bidi="ar"/>
              </w:rPr>
              <w:t xml:space="preserve">）桌面与桌斗采用11颗304不锈钢紧固件固定，达到稳固效果。</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cs="宋体"/>
                <w:b w:val="0"/>
                <w:bCs w:val="0"/>
                <w:i w:val="0"/>
                <w:iCs w:val="0"/>
                <w:color w:val="000000"/>
                <w:sz w:val="18"/>
                <w:szCs w:val="18"/>
                <w:highlight w:val="none"/>
                <w:u w:val="none"/>
                <w:lang w:val="en-US" w:eastAsia="zh-CN" w:bidi="ar"/>
              </w:rPr>
              <w:t xml:space="preserve">9</w:t>
            </w:r>
            <w:r>
              <w:rPr>
                <w:rFonts w:hint="eastAsia" w:ascii="宋体" w:hAnsi="宋体" w:eastAsia="宋体" w:cs="宋体"/>
                <w:b w:val="0"/>
                <w:bCs w:val="0"/>
                <w:i w:val="0"/>
                <w:iCs w:val="0"/>
                <w:color w:val="000000"/>
                <w:sz w:val="18"/>
                <w:szCs w:val="18"/>
                <w:highlight w:val="none"/>
                <w:u w:val="none"/>
                <w:lang w:val="en-US" w:eastAsia="zh-CN" w:bidi="ar"/>
              </w:rPr>
              <w:t xml:space="preserve">）桌面左侧配有一个向下内嵌式圆形水杯槽，尺寸：直径60mm。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4.组合设计：面板底部有強化承重之设计。锁入钢管支撑，并与面板底部平齐。尺寸规格为30mm×500mm×15mm×壁厚1.5mm。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B、书箱要求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1、材质：采用PP原料粒子一体注塑成型。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2.外径尺寸：540mm×370mm×145mm（长宽高）。</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内径尺寸：445mm×360mm×前140mm（后端150mm）（长宽高）。</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1）书箱内部前沿设有笔槽；(2)书箱内部不设置任何排水槽，须为平面；（3）书箱两侧有配有凸出30mm的一体式挂钩；（4）书箱内倾式设计，由前向后倾斜10mm；（5）书箱前面与两侧除了挂钩外也须为平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C、桌钢架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1、材质及形状：采用椭圆形亮光钢管组合焊接而成，结构得需牢固，长时间使用不得产生摇晃、松散的现象。焊接完成之钢管架，焊接部位得需牢固，需无脱焊、虚焊、焊穿。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2、尺寸：桌脚贴地承重钢管尺寸为30mm×60mm×壁厚1.5mm；；桌脚横型钢管尺寸为25mm×50mm×厚1.2mm；桌脚上部固定立管钢管尺寸为30mm×70mm×壁厚1.2mm；桌脚上部活动立管钢管尺寸为20mm×60mm×壁厚1.2mm。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涂装：焊接完成之钢管架，表面经酸洗、脱脂、磷化处理，耐腐蚀、防锈。外表采一级静电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D、升降功能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采用手摇升降功能，桌架为手摇升降结构，在桌腿和桌面支撑架内设有高低调节装置包括设在两条桌腿内的螺杆、带内螺纹的方管、轴承、伞型齿轮、传动轴、杆套、摇柄及连接两传动轴的六角型升降合金铝杆；两头升降器用六角形配件连接，连接杆穿在25</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×50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的桌脚横型钢管内；升降范围640mm-790mm，可以在几秒钟之内完成和椅子的最合适高度。课桌腿之间装有PP原料一次成型的中间套，确保上下升降调节灵活、便捷、顺畅（为呵护学生的安全，桌子手摇组件必须置于桌子腿架管内，不可有外露部分，离地面145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2、升降刻度要求：采用激光镭射工艺。确保标记图文清晰度高，并达到永久性标记，不淡化、不模糊、不脱落、不变形。（不得使用丝网印刷）</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3、功能与工艺要求：课桌可调节的钢制脚架需清晰标记刻度尺，便于高度调整定位准确、快速。调整刻度从640mm～790mm共15个小层次，小层次间隔10mm，数字代表桌面离地高度,调节桌高可从640mm至790mm；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4、功能：手摇柄插入孔内顺时针旋转椅面上升，逆时针旋转椅面下降，调整便捷顺畅。</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E、脚套</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1、材质：采用PP原料粒子一体注塑成型，并用圆头十字自攻螺丝连接钢脚。</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2.尺寸：长100mm×宽65mm×高40mm。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3、脚套底部配有调节孔位，可安装圆形调节螺丝，便于多环境下进行调平。</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F、挂钩</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1、材质：采用PP原料粒子一体注塑成型，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2、尺寸：长20mm×深30mm×高30mm。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3、功能与工艺要求：书箱左右两侧得需各有</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一挂钩设计。左右挂钩得需与书箱一体成型。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不得采用螺丝锁附方式配置挂钩。在静止状态</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下可以承载10KG的挂物承重。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G、置物篮</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1、材质：采用静电塑粉喷塑钢筋，制作完成的置物篮满焊焊接于桌腿上，置物篮底部离地140mm，焊接部位牢固，需无脱焊、虚焊、焊穿；焊缝均匀，需无毛棱、锐棱、飞溅、裂纹等缺陷。</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2、尺寸：长400mm*深200mm*高180mm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课椅：</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A、坐垫</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2、尺寸：宽395mm×深390mm×侧厚56mm。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垫前端有往下145°且长40mm的C型斜坡，可使坐下时腿部能服贴座垫，进而达到长时间乘坐不压迫，坐垫前段不允许为波浪形；座垫中间有一内陷处可使坐下时臀部能服贴座垫，进而达到长时间乘坐臀部不劳累。两边的通气长条尺寸为122mm×6mm,槽缝设计需通气散热细缝，每条细缝宽度不得超过6mm。坐垫两侧及后部有一圈由两根线条组成的凸条，用于增加坐垫舒适度。</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B、椅钢架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1、材质及形状：采用椭圆形亮光钢管组合焊接而成，结构得需牢固，长时间使用不得产生摇晃、松散的现象。焊接完成之钢管架，焊接部位得需牢固，需无脱焊、虚焊、焊穿。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椅座贴地承重钢管尺寸为30mm×60mm×厚1.5mm；椅子横型钢管尺寸为25mm×50mm×厚1.2mm；椅脚承重钢管上部立管钢管尺寸为30mm×70mm×厚1.2mm；坐垫下活动立管钢管尺寸为20mm×60mm×厚1.2mm；坐垫钢管尺寸为16.5mm×34mm×厚1.3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涂装：焊接完成之钢管架，表面经酸洗、脱脂、磷化处理，耐腐蚀、防锈。外表采一级静电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C、升降功能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采用手摇升降功能，椅架为手摇升降结构，钢脚两侧需带有激光设备刻上的升降课桌调节尺寸数字，在椅腿和椅子支撑架内设有高低调节装置包括设在两条椅腿内的螺杆、带内螺纹的方管、轴承、伞型齿轮、传动轴、杆套、摇柄及连接两传动轴的六角型升降合金铝杆；两头升降器用六角形配件连接，连接杆穿在</w:t>
            </w:r>
            <w:r>
              <w:rPr>
                <w:rFonts w:hint="eastAsia" w:ascii="宋体" w:hAnsi="宋体" w:cs="宋体"/>
                <w:b w:val="0"/>
                <w:bCs w:val="0"/>
                <w:i w:val="0"/>
                <w:iCs w:val="0"/>
                <w:color w:val="000000"/>
                <w:sz w:val="18"/>
                <w:szCs w:val="18"/>
                <w:highlight w:val="none"/>
                <w:u w:val="none"/>
                <w:lang w:val="en-US" w:eastAsia="zh-CN" w:bidi="ar"/>
              </w:rPr>
              <w:t xml:space="preserve">25mm×50mm</w:t>
            </w:r>
            <w:r>
              <w:rPr>
                <w:rFonts w:hint="eastAsia" w:ascii="宋体" w:hAnsi="宋体" w:eastAsia="宋体" w:cs="宋体"/>
                <w:b w:val="0"/>
                <w:bCs w:val="0"/>
                <w:i w:val="0"/>
                <w:iCs w:val="0"/>
                <w:color w:val="000000"/>
                <w:sz w:val="18"/>
                <w:szCs w:val="18"/>
                <w:highlight w:val="none"/>
                <w:u w:val="none"/>
                <w:lang w:val="en-US" w:eastAsia="zh-CN" w:bidi="ar"/>
              </w:rPr>
              <w:t xml:space="preserve">的椅脚横型钢管内；升降范围360mm-460mm，可以在几秒钟之内完成和桌子的最合适高度。课椅腿之间装有PP原料一次成型的中间套，确保上下升降调节灵活。（为呵护学生的安全，椅子手摇组件必须置于椅子腿件管内，不可有外露部分，离地面85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2、升降刻度要求：采用激光镭射工艺。确保标记图文清晰度高，并达到永久性标记，不淡化、不模糊、不脱落、不变形。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3、功能与工艺要求：课椅可调节的钢制脚架需清晰标记刻度尺，便于高度调整定位准确、快速。调整刻度从360mm～460mm共10个小层次，小层次间隔10mm，数字代表桌面离地高度,调节桌高可从360mm至460mm。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4、功能：手摇柄插入孔内顺时针旋转椅面上升，逆时针旋转椅面下降，调整便捷顺畅。</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D、脚套</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1、材质：采用PP原料粒子一体注塑成型，并用圆头十字自攻螺丝连接钢脚。</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2.尺寸：长100mm×宽65mm×高40mm。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3、脚套底部配有调节孔位，可安装圆形调节螺丝，便于多环境下进行调平。</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2305" cy="1182370"/>
                      <wp:effectExtent l="0" t="0" r="4445" b="17780"/>
                      <wp:docPr id="24"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3" descr="IMG_278"/>
                              <pic:cNvPicPr>
                                <a:picLocks noChangeAspect="1"/>
                              </pic:cNvPicPr>
                              <pic:nvPr/>
                            </pic:nvPicPr>
                            <pic:blipFill>
                              <a:blip r:embed="rId34"/>
                              <a:stretch/>
                            </pic:blipFill>
                            <pic:spPr bwMode="auto">
                              <a:xfrm>
                                <a:off x="0" y="0"/>
                                <a:ext cx="662305" cy="11823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2.1pt;height:93.1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长1100*宽600*高1030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3、钢板件：采用优质1.0-1.2mm厚冷轧钢，喷涂前使用优质环保磷化液前处理，钢制部件整体使用优质环保塑粉静电喷涂，高温固化，确保质量完美；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件：中性盐雾试验耐腐蚀等级达到10级，耐久性符合国家标准。5、采用一体化设计外观彰显时尚感，三面环抱式设计，讲台桌面高度合适老师放置教学用品，桌面平整，边缘光滑，无棱角处理，保护师生安全。抽屉采用优质滑轨承重能力强，不易变形。6、底部配备可调节升降底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清洁柜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5160" cy="909955"/>
                      <wp:effectExtent l="0" t="0" r="2540" b="4445"/>
                      <wp:docPr id="25"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4" descr="IMG_279"/>
                              <pic:cNvPicPr>
                                <a:picLocks noChangeAspect="1"/>
                              </pic:cNvPicPr>
                              <pic:nvPr/>
                            </pic:nvPicPr>
                            <pic:blipFill>
                              <a:blip r:embed="rId35"/>
                              <a:stretch/>
                            </pic:blipFill>
                            <pic:spPr bwMode="auto">
                              <a:xfrm>
                                <a:off x="0" y="0"/>
                                <a:ext cx="645159" cy="90995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0.8pt;height:71.6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900*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4"/>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采用25MM及16MME0级阻燃超纤皮，静曲强度、弹性模量、内结合强度、表面胶合强度均要求合格。甲醛释放量符合检测结果，TVOC（总挥发性有机化合物）含量符合国家标准。2、封边：采用同色PVC封边，无缝封边，具有良好的耐气候性能，不易受环境、温度变化而产生收缩、膨胀的问题。封边处无脱胶、鼓泡、透胶、露底。甲醛释放量符合检测结果。</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柜面：外表光洁，无污斑，无划痕、无光泽不均、无鼓泡、鼓包、厚度偏差±3mm，垂直度偏差≤2mm/m，边缘直度偏差≤1mm/m、平整度偏差≤1%，表面耐冷热循环、表面耐划痕、表面耐磨、表面耐香烟灼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4、铰链：中性盐雾试验耐腐蚀等级达到10级，操作力、功能：垂直静载荷、水平静载荷、耐久性、下沉量符合国家标准。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5、拉手：边缘圆滑，贴合手指着力点，轻松拉合，无需费力。外表光洁，无污渍，无划痕，无明显色差。耐老化性：外观颜色变色评级达到4级，重金属(可溶性铅、可溶性镉、可溶性鉻、可溶性汞）均≤5mg/kg。</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批改桌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713740"/>
                      <wp:effectExtent l="0" t="0" r="0" b="10160"/>
                      <wp:docPr id="26"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5" descr="IMG_280"/>
                              <pic:cNvPicPr>
                                <a:picLocks noChangeAspect="1"/>
                              </pic:cNvPicPr>
                              <pic:nvPr/>
                            </pic:nvPicPr>
                            <pic:blipFill>
                              <a:blip r:embed="rId36"/>
                              <a:stretch/>
                            </pic:blipFill>
                            <pic:spPr bwMode="auto">
                              <a:xfrm>
                                <a:off x="0" y="0"/>
                                <a:ext cx="609600" cy="7137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0pt;height:56.2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主桌</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750/侧柜</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5"/>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2、基材：采用优质E0级三聚氰胺板,优质绿色环保产品,符合国家标准，甲醛释放量，总挥发物有机化合物合格。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3、封边：采用优质PVC树脂封边条同色封边，符合QB/T4463-2013标准要求，甲醛释放量合格，可溶性铅、可溶性铬、可溶性镉、可溶性汞、可溶性硒均为未检出，封边严密、平整、无脱胶、表面无胶渍。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；HJ2541-2016《环境标志产品技术要求胶粘剂》标准，游离甲醛，总挥发性有机物合格。</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5、钢制件：采用优质1.5mm厚冷轧钢管及1.0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厚冷轧钢板，喷涂前使用优质环保磷化液前处理，钢制部件整体使用优质环保塑粉静电喷涂，高温固化，确保质量完美；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批改椅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17525" cy="741045"/>
                      <wp:effectExtent l="0" t="0" r="15875" b="1905"/>
                      <wp:docPr id="27"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6" descr="IMG_281"/>
                              <pic:cNvPicPr>
                                <a:picLocks noChangeAspect="1"/>
                              </pic:cNvPicPr>
                              <pic:nvPr/>
                            </pic:nvPicPr>
                            <pic:blipFill>
                              <a:blip r:embed="rId37"/>
                              <a:stretch/>
                            </pic:blipFill>
                            <pic:spPr bwMode="auto">
                              <a:xfrm>
                                <a:off x="0" y="0"/>
                                <a:ext cx="517525" cy="7410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0.8pt;height:58.3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长480*宽540*高850（座高450）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1、椅架：优质榉木椅脚，较高的光泽度，质地细密，不易吸水，耐腐蚀，强度大，稳定性强，断裂强度高、抗震能力特别强，结实耐用，使用年限长。表面清漆处理，符合国家环保标准。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2、椅背：全新PP+玻纤，座背一体成型，背部孔洞造型设计，外观简约，通过材料性质实现靠背倾仰，舒缓背部压力，表面晒纹处理，质感好3、脚塞：防滑塑料胶塞，保护地板不受伤害，移动时减少噪音</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2145" cy="474345"/>
                      <wp:effectExtent l="0" t="0" r="14604" b="1905"/>
                      <wp:docPr id="28"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7" descr="IMG_282"/>
                              <pic:cNvPicPr>
                                <a:picLocks noChangeAspect="1"/>
                              </pic:cNvPicPr>
                              <pic:nvPr/>
                            </pic:nvPicPr>
                            <pic:blipFill>
                              <a:blip r:embed="rId38"/>
                              <a:stretch/>
                            </pic:blipFill>
                            <pic:spPr bwMode="auto">
                              <a:xfrm>
                                <a:off x="0" y="0"/>
                                <a:ext cx="652145" cy="4743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51.3pt;height:37.4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长2700*宽360*高1900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6"/>
              </w:numPr>
              <w:jc w:val="left"/>
              <w:keepLines w:val="0"/>
              <w:keepNext w:val="0"/>
              <w:spacing w:line="240" w:lineRule="auto"/>
              <w:widowControl/>
              <w:rPr>
                <w:rFonts w:hint="eastAsia" w:ascii="宋体" w:hAnsi="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基材采用优质冷轧钢板。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2、整体焊接成型，焊点牢固、平滑、美观，无气孔、脱焊、虚焊现象。表面应无毛刺、光滑、平整，不得有尖角、划口、凸起。外观要求符合GB/T3325-2017《金属家具通用技术条件》中要求</w:t>
            </w:r>
            <w:r>
              <w:rPr>
                <w:rFonts w:hint="eastAsia" w:ascii="宋体" w:hAnsi="宋体" w:cs="宋体"/>
                <w:b w:val="0"/>
                <w:bCs w:val="0"/>
                <w:i w:val="0"/>
                <w:iCs w:val="0"/>
                <w:color w:val="000000"/>
                <w:sz w:val="18"/>
                <w:szCs w:val="18"/>
                <w:highlight w:val="none"/>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钢板表面经酸洗、磷化、静电喷涂处理，静电喷涂采用环保型热固性粉末，喷涂漆膜厚度≥60um，涂层应光滑均匀，色泽一致，应无流挂、疙瘩、皱皮、飞漆等缺陷。喷涂后理化性能符合GB/T3325-2017《金属家具通用技术条件》标准要求。</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保密柜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73735" cy="1041400"/>
                      <wp:effectExtent l="0" t="0" r="12065" b="6350"/>
                      <wp:docPr id="29"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8" descr="IMG_283"/>
                              <pic:cNvPicPr>
                                <a:picLocks noChangeAspect="1"/>
                              </pic:cNvPicPr>
                              <pic:nvPr/>
                            </pic:nvPicPr>
                            <pic:blipFill>
                              <a:blip r:embed="rId39"/>
                              <a:stretch/>
                            </pic:blipFill>
                            <pic:spPr bwMode="auto">
                              <a:xfrm>
                                <a:off x="0" y="0"/>
                                <a:ext cx="673735" cy="1041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3.0pt;height:82.0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900*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420*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产品采用优质冷轧钢精装盒板，厚度0.8以上，冷轧钢板符合GB/T4336-2016《碳素钢和中低合金钢》、GB/T700-2006《碳素结构钢》、QB/T3827-1999《轻工产品金属镀层和化学处理层的耐腐蚀试验方法乙酸盐雾试验（ASS）法》。</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2、酸洗磷化工艺处理，防生锈，耐压强度大，抗冲击不易变形；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3、粉末：采用静电热固粉末，符合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，卤代烃总和含量未检出，多环芳径总和含量未检出，可溶性镉未检出，总铅未检出，可溶性铬未检出，可溶性汞未检出，耐酸性（3%HC1,23℃，240H）未出现异常，划格试验达到1级或以上，光泽≥60。</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cs="宋体"/>
                <w:b w:val="0"/>
                <w:bCs w:val="0"/>
                <w:i w:val="0"/>
                <w:iCs w:val="0"/>
                <w:color w:val="000000"/>
                <w:sz w:val="18"/>
                <w:szCs w:val="18"/>
                <w:highlight w:val="none"/>
                <w:u w:val="none"/>
                <w:lang w:val="en-US" w:eastAsia="zh-CN" w:bidi="ar"/>
              </w:rPr>
              <w:t xml:space="preserve">4</w:t>
            </w:r>
            <w:r>
              <w:rPr>
                <w:rFonts w:hint="eastAsia" w:ascii="宋体" w:hAnsi="宋体" w:eastAsia="宋体" w:cs="宋体"/>
                <w:b w:val="0"/>
                <w:bCs w:val="0"/>
                <w:i w:val="0"/>
                <w:iCs w:val="0"/>
                <w:color w:val="000000"/>
                <w:sz w:val="18"/>
                <w:szCs w:val="18"/>
                <w:highlight w:val="none"/>
                <w:u w:val="none"/>
                <w:lang w:val="en-US" w:eastAsia="zh-CN" w:bidi="ar"/>
              </w:rPr>
              <w:t xml:space="preserve">、锁具采用优质锁，互开率不到千分之一；</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cs="宋体"/>
                <w:b w:val="0"/>
                <w:bCs w:val="0"/>
                <w:i w:val="0"/>
                <w:iCs w:val="0"/>
                <w:color w:val="000000"/>
                <w:sz w:val="18"/>
                <w:szCs w:val="18"/>
                <w:highlight w:val="none"/>
                <w:u w:val="none"/>
                <w:lang w:val="en-US" w:eastAsia="zh-CN" w:bidi="ar"/>
              </w:rPr>
              <w:t xml:space="preserve">5</w:t>
            </w:r>
            <w:r>
              <w:rPr>
                <w:rFonts w:hint="eastAsia" w:ascii="宋体" w:hAnsi="宋体" w:eastAsia="宋体" w:cs="宋体"/>
                <w:b w:val="0"/>
                <w:bCs w:val="0"/>
                <w:i w:val="0"/>
                <w:iCs w:val="0"/>
                <w:color w:val="000000"/>
                <w:sz w:val="18"/>
                <w:szCs w:val="18"/>
                <w:highlight w:val="none"/>
                <w:u w:val="none"/>
                <w:lang w:val="en-US" w:eastAsia="zh-CN" w:bidi="ar"/>
              </w:rPr>
              <w:t xml:space="preserve">、拉手、塑料键采用ABS材料射出成型；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cs="宋体"/>
                <w:b w:val="0"/>
                <w:bCs w:val="0"/>
                <w:i w:val="0"/>
                <w:iCs w:val="0"/>
                <w:color w:val="000000"/>
                <w:sz w:val="18"/>
                <w:szCs w:val="18"/>
                <w:highlight w:val="none"/>
                <w:u w:val="none"/>
                <w:lang w:val="en-US" w:eastAsia="zh-CN" w:bidi="ar"/>
              </w:rPr>
              <w:t xml:space="preserve">6</w:t>
            </w:r>
            <w:r>
              <w:rPr>
                <w:rFonts w:hint="eastAsia" w:ascii="宋体" w:hAnsi="宋体" w:eastAsia="宋体" w:cs="宋体"/>
                <w:b w:val="0"/>
                <w:bCs w:val="0"/>
                <w:i w:val="0"/>
                <w:iCs w:val="0"/>
                <w:color w:val="000000"/>
                <w:sz w:val="18"/>
                <w:szCs w:val="18"/>
                <w:highlight w:val="none"/>
                <w:u w:val="none"/>
                <w:lang w:val="en-US" w:eastAsia="zh-CN" w:bidi="ar"/>
              </w:rPr>
              <w:t xml:space="preserve">、柜子内部有支加强支柱，搁板为可调式，搁板扣孔排列紧密，间隙小，美观耐用，可使搁板承受大量的书籍资料而不易脱落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cs="宋体"/>
                <w:b w:val="0"/>
                <w:bCs w:val="0"/>
                <w:i w:val="0"/>
                <w:iCs w:val="0"/>
                <w:color w:val="000000"/>
                <w:sz w:val="18"/>
                <w:szCs w:val="18"/>
                <w:highlight w:val="none"/>
                <w:u w:val="none"/>
                <w:lang w:val="en-US" w:eastAsia="zh-CN" w:bidi="ar"/>
              </w:rPr>
              <w:t xml:space="preserve">7</w:t>
            </w:r>
            <w:r>
              <w:rPr>
                <w:rFonts w:hint="eastAsia" w:ascii="宋体" w:hAnsi="宋体" w:eastAsia="宋体" w:cs="宋体"/>
                <w:b w:val="0"/>
                <w:bCs w:val="0"/>
                <w:i w:val="0"/>
                <w:iCs w:val="0"/>
                <w:color w:val="000000"/>
                <w:sz w:val="18"/>
                <w:szCs w:val="18"/>
                <w:highlight w:val="none"/>
                <w:u w:val="none"/>
                <w:lang w:val="en-US" w:eastAsia="zh-CN" w:bidi="ar"/>
              </w:rPr>
              <w:t xml:space="preserve">、采用电子密码锁</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最高限价1500元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控制台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20090" cy="466725"/>
                      <wp:effectExtent l="0" t="0" r="3810" b="9525"/>
                      <wp:docPr id="30"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9" descr="IMG_284"/>
                              <pic:cNvPicPr>
                                <a:picLocks noChangeAspect="1"/>
                              </pic:cNvPicPr>
                              <pic:nvPr/>
                            </pic:nvPicPr>
                            <pic:blipFill>
                              <a:blip r:embed="rId40"/>
                              <a:stretch/>
                            </pic:blipFill>
                            <pic:spPr bwMode="auto">
                              <a:xfrm>
                                <a:off x="0" y="0"/>
                                <a:ext cx="720090" cy="466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56.7pt;height:36.8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187</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900*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1、材料及厚度：采用≥</w:t>
            </w:r>
            <w:r>
              <w:rPr>
                <w:rFonts w:hint="eastAsia" w:ascii="宋体" w:hAnsi="宋体" w:cs="宋体"/>
                <w:b w:val="0"/>
                <w:bCs w:val="0"/>
                <w:i w:val="0"/>
                <w:iCs w:val="0"/>
                <w:color w:val="000000"/>
                <w:sz w:val="18"/>
                <w:szCs w:val="18"/>
                <w:highlight w:val="none"/>
                <w:u w:val="none"/>
                <w:lang w:val="en-US" w:eastAsia="zh-CN" w:bidi="ar"/>
              </w:rPr>
              <w:t xml:space="preserve">1.0</w:t>
            </w:r>
            <w:r>
              <w:rPr>
                <w:rFonts w:hint="eastAsia" w:ascii="宋体" w:hAnsi="宋体" w:eastAsia="宋体" w:cs="宋体"/>
                <w:b w:val="0"/>
                <w:bCs w:val="0"/>
                <w:i w:val="0"/>
                <w:iCs w:val="0"/>
                <w:color w:val="000000"/>
                <w:sz w:val="18"/>
                <w:szCs w:val="18"/>
                <w:highlight w:val="none"/>
                <w:u w:val="none"/>
                <w:lang w:val="en-US" w:eastAsia="zh-CN" w:bidi="ar"/>
              </w:rPr>
              <w:t xml:space="preserve">MM厚一级冷轧钢板。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2、板式基材：采用优质E0级阻燃实芯理化板,优质绿色环保产品,符合国家标准，甲醛释放量，总挥发物有机化合物合格。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2、表面处理：采用静电粉末喷涂，涂层膜厚度均匀，内外一致，抗菌、防霉、耐酸碱、耐磨、耐撞击，抗腐蚀力强。</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3、五金配件：采用优质五金配件，无锈蚀，具有足够的承载能力、耐腐蚀能力。</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4、设有电脑主机位置，门板带散热孔，木制键盘架。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控制台配</w:t>
            </w:r>
            <w:r>
              <w:rPr>
                <w:rFonts w:hint="eastAsia" w:ascii="宋体" w:hAnsi="宋体" w:eastAsia="宋体" w:cs="宋体"/>
                <w:b w:val="0"/>
                <w:bCs w:val="0"/>
                <w:i w:val="0"/>
                <w:iCs w:val="0"/>
                <w:color w:val="000000"/>
                <w:sz w:val="18"/>
                <w:szCs w:val="18"/>
                <w:highlight w:val="none"/>
                <w:u w:val="none"/>
                <w:lang w:val="en-US" w:eastAsia="zh-CN" w:bidi="ar"/>
              </w:rPr>
              <w:t xml:space="preserve">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734060"/>
                      <wp:effectExtent l="0" t="0" r="0" b="8890"/>
                      <wp:docPr id="31"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descr="IMG_285"/>
                              <pic:cNvPicPr>
                                <a:picLocks noChangeAspect="1"/>
                              </pic:cNvPicPr>
                              <pic:nvPr/>
                            </pic:nvPicPr>
                            <pic:blipFill>
                              <a:blip r:embed="rId41"/>
                              <a:stretch/>
                            </pic:blipFill>
                            <pic:spPr bwMode="auto">
                              <a:xfrm>
                                <a:off x="0" y="0"/>
                                <a:ext cx="609600" cy="734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0pt;height:57.8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2780" cy="497205"/>
                      <wp:effectExtent l="0" t="0" r="13970" b="17145"/>
                      <wp:docPr id="32"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1" descr="IMG_286"/>
                              <pic:cNvPicPr>
                                <a:picLocks noChangeAspect="1"/>
                              </pic:cNvPicPr>
                              <pic:nvPr/>
                            </pic:nvPicPr>
                            <pic:blipFill>
                              <a:blip r:embed="rId42"/>
                              <a:stretch/>
                            </pic:blipFill>
                            <pic:spPr bwMode="auto">
                              <a:xfrm>
                                <a:off x="0" y="0"/>
                                <a:ext cx="652780" cy="4972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51.4pt;height:39.1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1930*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840*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7"/>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覆面材料：优质阻燃超纤皮，经液氨多道浸色及防潮、防腐等工艺处理，皮面手感柔软舒适，光泽持久，且透气性、韧性等理化指标更胜一筹，符合标准GB/T16799-2018《家具用皮革》；</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2、内衬海绵：海绵采用优质高密度定型阻燃海绵，密度≥30KG/m³。海绵理化性及压膜量均符合标准GB/T10802-2023《通用软质聚氨酯泡沫塑料》，不塌陷、具有较好的回弹性；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3、框架：内框架采用</w:t>
            </w:r>
            <w:r>
              <w:rPr>
                <w:rFonts w:hint="eastAsia" w:ascii="宋体" w:hAnsi="宋体" w:cs="宋体"/>
                <w:b w:val="0"/>
                <w:bCs w:val="0"/>
                <w:i w:val="0"/>
                <w:iCs w:val="0"/>
                <w:color w:val="000000"/>
                <w:sz w:val="18"/>
                <w:szCs w:val="18"/>
                <w:highlight w:val="none"/>
                <w:u w:val="none"/>
                <w:lang w:val="en-US" w:eastAsia="zh-CN" w:bidi="ar"/>
              </w:rPr>
              <w:t xml:space="preserve">优质</w:t>
            </w:r>
            <w:r>
              <w:rPr>
                <w:rFonts w:hint="eastAsia" w:ascii="宋体" w:hAnsi="宋体" w:eastAsia="宋体" w:cs="宋体"/>
                <w:b w:val="0"/>
                <w:bCs w:val="0"/>
                <w:i w:val="0"/>
                <w:iCs w:val="0"/>
                <w:color w:val="000000"/>
                <w:sz w:val="18"/>
                <w:szCs w:val="18"/>
                <w:highlight w:val="none"/>
                <w:u w:val="none"/>
                <w:lang w:val="en-US" w:eastAsia="zh-CN" w:bidi="ar"/>
              </w:rPr>
              <w:t xml:space="preserve">实木框架，肉眼观测没有损木、无虫蛀及疤节，经烘干、防虫防腐处理，木材含水量≤12%。料与料之间采用榫眼或者刻口相互衔接，再用黏胶剂，使之用力前后左右摇晃都不会有松动感；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4、参考标准QB/T1952.1-2023《软体家具沙发》，产品用料加工、外观性能（面料、缝纫和包覆、木制件），力学性能、理化性能、安全性能（抗引燃特性）、产品有害物质甲醛释放量等都需符合国家标准。</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5、五金件：电镀件外露表面应色泽均匀，电镀层无剥落，无反锈，无起泡，无裂纹，无花斑。电镀件耐腐蚀（经过100h的中性盐雾试验后）外观评级达到10级。电镀件耐腐蚀符合国家标准。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w:t>
            </w:r>
            <w:r/>
          </w:p>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3000元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单人沙发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8500" cy="722630"/>
                      <wp:effectExtent l="0" t="0" r="6350" b="1270"/>
                      <wp:docPr id="33"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2" descr="IMG_287"/>
                              <pic:cNvPicPr>
                                <a:picLocks noChangeAspect="1"/>
                              </pic:cNvPicPr>
                              <pic:nvPr/>
                            </pic:nvPicPr>
                            <pic:blipFill>
                              <a:blip r:embed="rId43"/>
                              <a:stretch/>
                            </pic:blipFill>
                            <pic:spPr bwMode="auto">
                              <a:xfrm>
                                <a:off x="0" y="0"/>
                                <a:ext cx="698500" cy="7226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5.0pt;height:56.9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930*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840*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8"/>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覆面材料：优质阻燃超纤皮，经液氨多道浸色及防潮、防腐等工艺处理，皮面手感柔软舒适，光泽持久，且透气性、韧性等理化指标更胜一筹，符合标准GB/T16799-2018《家具用皮革》；</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2、内衬海绵：海绵采用优质高密度定型阻燃海绵，密度≥30KG/m³。海绵理化性及压膜量均符合标准GB/T10802-2023《通用软质聚氨酯泡沫塑料》，不塌陷、具有较好的回弹性；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3、框架：内框架采用</w:t>
            </w:r>
            <w:r>
              <w:rPr>
                <w:rFonts w:hint="eastAsia" w:ascii="宋体" w:hAnsi="宋体" w:cs="宋体"/>
                <w:b w:val="0"/>
                <w:bCs w:val="0"/>
                <w:i w:val="0"/>
                <w:iCs w:val="0"/>
                <w:color w:val="000000"/>
                <w:sz w:val="18"/>
                <w:szCs w:val="18"/>
                <w:highlight w:val="none"/>
                <w:u w:val="none"/>
                <w:lang w:val="en-US" w:eastAsia="zh-CN" w:bidi="ar"/>
              </w:rPr>
              <w:t xml:space="preserve">优质</w:t>
            </w:r>
            <w:r>
              <w:rPr>
                <w:rFonts w:hint="eastAsia" w:ascii="宋体" w:hAnsi="宋体" w:eastAsia="宋体" w:cs="宋体"/>
                <w:b w:val="0"/>
                <w:bCs w:val="0"/>
                <w:i w:val="0"/>
                <w:iCs w:val="0"/>
                <w:color w:val="000000"/>
                <w:sz w:val="18"/>
                <w:szCs w:val="18"/>
                <w:highlight w:val="none"/>
                <w:u w:val="none"/>
                <w:lang w:val="en-US" w:eastAsia="zh-CN" w:bidi="ar"/>
              </w:rPr>
              <w:t xml:space="preserve">实木框架，肉眼观测没有损木、无虫蛀及疤节，经烘干、防虫防腐处理，木材含水量≤12%。料与料之间采用榫眼或者刻口相互衔接，再用黏胶剂，使之用力前后左右摇晃都不会有松动感；</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4、参考标准QB/T1952.1-2023《软体家具沙发》，产品用料加工、外观性能（面料、缝纫和包覆、木制件），力学性能、理化性能、安全性能（抗引燃特性）、产品有害物质甲醛释放量等都需符合国家标准。</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5、五金件：电镀件外露表面应色泽均匀，电镀层无剥落，无反锈，无起泡，无裂纹，无花斑。电镀件耐腐蚀（经过100h的中性盐雾试验后）外观评级达到10级。电镀件耐腐蚀符合国家标准。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最高限价1200元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8655" cy="433070"/>
                      <wp:effectExtent l="0" t="0" r="17145" b="5080"/>
                      <wp:docPr id="34"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3" descr="IMG_288"/>
                              <pic:cNvPicPr>
                                <a:picLocks noChangeAspect="1"/>
                              </pic:cNvPicPr>
                              <pic:nvPr/>
                            </pic:nvPicPr>
                            <pic:blipFill>
                              <a:blip r:embed="rId44"/>
                              <a:stretch/>
                            </pic:blipFill>
                            <pic:spPr bwMode="auto">
                              <a:xfrm>
                                <a:off x="0" y="0"/>
                                <a:ext cx="668655" cy="4330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2.6pt;height:34.1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最高限价650元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3890" cy="446405"/>
                      <wp:effectExtent l="0" t="0" r="3810" b="10795"/>
                      <wp:docPr id="35"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4" descr="IMG_289"/>
                              <pic:cNvPicPr>
                                <a:picLocks noChangeAspect="1"/>
                              </pic:cNvPicPr>
                              <pic:nvPr/>
                            </pic:nvPicPr>
                            <pic:blipFill>
                              <a:blip r:embed="rId45"/>
                              <a:stretch/>
                            </pic:blipFill>
                            <pic:spPr bwMode="auto">
                              <a:xfrm>
                                <a:off x="0" y="0"/>
                                <a:ext cx="643890" cy="4464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0.7pt;height:35.1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长1400*宽700*高750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9"/>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，甲醛释放量，总挥发物有机化合物合格。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3、封边：采用优质PVC树脂封边条同色封边，符合QB/T4463-2013标准要求，甲醛释放量合格，可溶性铅、可溶性铬、可溶性镉、可溶性汞、可溶性硒均为未检出，封边严密、平整、无脱胶、表面无胶渍。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；HJ2541-2016《环境标志产品技术要求胶粘剂》标准，游离甲醛，总挥发性有机物合格。</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序号34和35为一套，最高限价2600元/套(桌+椅)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5945" cy="694055"/>
                      <wp:effectExtent l="0" t="0" r="14604" b="10795"/>
                      <wp:docPr id="36"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5" descr="IMG_290"/>
                              <pic:cNvPicPr>
                                <a:picLocks noChangeAspect="1"/>
                              </pic:cNvPicPr>
                              <pic:nvPr/>
                            </pic:nvPicPr>
                            <pic:blipFill>
                              <a:blip r:embed="rId46"/>
                              <a:stretch/>
                            </pic:blipFill>
                            <pic:spPr bwMode="auto">
                              <a:xfrm>
                                <a:off x="0" y="0"/>
                                <a:ext cx="575945" cy="694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5.3pt;height:54.6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79780" cy="647065"/>
                      <wp:effectExtent l="0" t="0" r="1270" b="635"/>
                      <wp:docPr id="37"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6" descr="IMG_291"/>
                              <pic:cNvPicPr>
                                <a:picLocks noChangeAspect="1"/>
                              </pic:cNvPicPr>
                              <pic:nvPr/>
                            </pic:nvPicPr>
                            <pic:blipFill>
                              <a:blip r:embed="rId47"/>
                              <a:stretch/>
                            </pic:blipFill>
                            <pic:spPr bwMode="auto">
                              <a:xfrm>
                                <a:off x="0" y="0"/>
                                <a:ext cx="779780" cy="6470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1.4pt;height:50.9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top"/>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采用优质环保E0级刨花板，台面厚度25mm，其他厚度16mm，握钉力强，吸水膨胀率低，符合GB/T35601-2017、GB/T4897-2015标准，静曲强度≥14MPa，弹性模量≥2800MPa，内胶合强度≥0.5MPa，表面胶合强度≥1.2MPa，2h吸水厚度膨胀率≤0.8%，板面握螺钉力≥1000N，板边握螺钉力≥700N，甲醛释放量≤0.01mg/m³，产品有害物质（苯、甲苯、二甲苯）均未检出，总挥发性有机物（TVOC）≤18μg/m³</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3、封边：采用优质PVC树脂封边条同色封边，符合QB/T4463-2013标准要求，甲醛释放量符合国标，可溶性铅、可溶性铬、可溶性镉、可溶性汞、可溶性硒均为未检出，封边严密、平整、无脱胶、表面无胶渍。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5、钢制件：面托：3.0mm钢板冲压成型；横梁：40*30*1.2mm长方管；立柱：44*90*1.2mm八边形面包管；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底脚：一字形底脚，冲压完成，3.0mm；铁挡板：厚度1.0mm，冲孔、折弯、焊接完成；前钢制挡板，高度通底，保证隐私；</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6、脚轮：带刹车2.5英寸PU静音轮；</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7、书网：采用ø16*1.0mm不锈钢圆管与塑胶件紧密扣合组成；</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8、折叠方式：两侧采用圆形阻燃PP新料保护壳，可以手动旋钮机关，自动弹回卡位，扣合紧密；喷涂前使用优质环保磷化液前处理，钢制部件整体使用优质环保塑粉静电喷涂，高温固化，确保质量完美；</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45490" cy="745490"/>
                      <wp:effectExtent l="0" t="0" r="16510" b="16510"/>
                      <wp:docPr id="38"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7" descr="IMG_292"/>
                              <pic:cNvPicPr>
                                <a:picLocks noChangeAspect="1"/>
                              </pic:cNvPicPr>
                              <pic:nvPr/>
                            </pic:nvPicPr>
                            <pic:blipFill>
                              <a:blip r:embed="rId48"/>
                              <a:stretch/>
                            </pic:blipFill>
                            <pic:spPr bwMode="auto">
                              <a:xfrm>
                                <a:off x="0" y="0"/>
                                <a:ext cx="745490" cy="7454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58.7pt;height:58.7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630*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1、覆面：采用优质阻燃超纤皮饰面，符合：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，摩擦色牢度≥4级；游离甲醛未检出VOC≤</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15mg/kg；禁用偶氮染料未检出，可萃取的重金属≤1mg/kg;经液态浸色及防潮、防污等工艺处理,皮面更加柔</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软舒适,光泽持久性。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符合GB/T10802-2006《通用软质聚醚型聚氨脂泡沫塑料》、GB/T6343-2009《泡沫塑料及橡胶表现密度的测定》，其海绵颜色均匀、无大于6mm对穿孔、无污染、无刺激性气味，密度≥60kg/m³，压膜量达到国家现行检测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3、成型胶合板：成型胶合板，含水率，浸渍剥离性能每一边剥离长度累计≤25mm，抗压性能无破损，断裂，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不脱胶，无异常声响，甲醛释放量，均符合国家标准。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4、支撑架：2.0厚不锈钢支架。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多功能升降演讲台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93420" cy="890905"/>
                      <wp:effectExtent l="0" t="0" r="11430" b="4445"/>
                      <wp:docPr id="39"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8" descr="IMG_293"/>
                              <pic:cNvPicPr>
                                <a:picLocks noChangeAspect="1"/>
                              </pic:cNvPicPr>
                              <pic:nvPr/>
                            </pic:nvPicPr>
                            <pic:blipFill>
                              <a:blip r:embed="rId49"/>
                              <a:stretch/>
                            </pic:blipFill>
                            <pic:spPr bwMode="auto">
                              <a:xfrm>
                                <a:off x="0" y="0"/>
                                <a:ext cx="693420" cy="8909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4.6pt;height:70.1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750*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500*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690-1080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2、桌面基材：采用优质E0级阻燃超纤皮,尺寸：750*500*18mm，符合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，甲醛释放量，总挥发物有机化合物符合国家标准。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3、桌面封边：采用优质PVC树脂封边条同色封边，符合QB/T4463-2013标准要求，甲醛释放量，可溶性铅、可溶性铬、可溶性镉、可溶性汞、可溶性硒均为未检出，封边严密、平整、无脱胶、表面无胶渍。</w:t>
            </w:r>
            <w:r/>
          </w:p>
          <w:p>
            <w:pPr>
              <w:numPr>
                <w:ilvl w:val="0"/>
                <w:numId w:val="3"/>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上挡板：采用E0级阻燃超纤皮，四周油漆封边，</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cs="宋体"/>
                <w:b w:val="0"/>
                <w:bCs w:val="0"/>
                <w:i w:val="0"/>
                <w:iCs w:val="0"/>
                <w:color w:val="000000"/>
                <w:sz w:val="18"/>
                <w:szCs w:val="18"/>
                <w:highlight w:val="none"/>
                <w:u w:val="none"/>
                <w:lang w:val="en-US" w:eastAsia="zh-CN" w:bidi="ar"/>
              </w:rPr>
              <w:t xml:space="preserve">5</w:t>
            </w:r>
            <w:r>
              <w:rPr>
                <w:rFonts w:hint="eastAsia" w:ascii="宋体" w:hAnsi="宋体" w:eastAsia="宋体" w:cs="宋体"/>
                <w:b w:val="0"/>
                <w:bCs w:val="0"/>
                <w:i w:val="0"/>
                <w:iCs w:val="0"/>
                <w:color w:val="000000"/>
                <w:sz w:val="18"/>
                <w:szCs w:val="18"/>
                <w:highlight w:val="none"/>
                <w:u w:val="none"/>
                <w:lang w:val="en-US" w:eastAsia="zh-CN" w:bidi="ar"/>
              </w:rPr>
              <w:t xml:space="preserve">、采用环保型白乳胶，符合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cs="宋体"/>
                <w:b w:val="0"/>
                <w:bCs w:val="0"/>
                <w:i w:val="0"/>
                <w:iCs w:val="0"/>
                <w:color w:val="000000"/>
                <w:sz w:val="18"/>
                <w:szCs w:val="18"/>
                <w:highlight w:val="none"/>
                <w:u w:val="none"/>
                <w:lang w:val="en-US" w:eastAsia="zh-CN" w:bidi="ar"/>
              </w:rPr>
              <w:t xml:space="preserve">6</w:t>
            </w:r>
            <w:r>
              <w:rPr>
                <w:rFonts w:hint="eastAsia" w:ascii="宋体" w:hAnsi="宋体" w:eastAsia="宋体" w:cs="宋体"/>
                <w:b w:val="0"/>
                <w:bCs w:val="0"/>
                <w:i w:val="0"/>
                <w:iCs w:val="0"/>
                <w:color w:val="000000"/>
                <w:sz w:val="18"/>
                <w:szCs w:val="18"/>
                <w:highlight w:val="none"/>
                <w:u w:val="none"/>
                <w:lang w:val="en-US" w:eastAsia="zh-CN" w:bidi="ar"/>
              </w:rPr>
              <w:t xml:space="preserve">、钢架：采用优质1.5mm厚冷轧钢管/钢板，喷涂前使用优质环保磷化液前处理，钢制部件整体使用优质环保塑粉静电喷涂，高温固化，确保质量完美；</w:t>
            </w:r>
            <w:r/>
          </w:p>
          <w:p>
            <w:pPr>
              <w:numPr>
                <w:ilvl w:val="0"/>
                <w:numId w:val="11"/>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五金件：中性盐雾试验耐腐蚀等级达到10级，耐久性符合国家标准。</w:t>
            </w:r>
            <w:r>
              <w:rPr>
                <w:rFonts w:hint="eastAsia" w:ascii="宋体" w:hAnsi="宋体" w:cs="宋体"/>
                <w:b w:val="0"/>
                <w:bCs w:val="0"/>
                <w:i w:val="0"/>
                <w:iCs w:val="0"/>
                <w:color w:val="000000"/>
                <w:sz w:val="18"/>
                <w:szCs w:val="18"/>
                <w:highlight w:val="none"/>
                <w:u w:val="none"/>
                <w:lang w:val="en-US" w:eastAsia="zh-CN" w:bidi="ar"/>
              </w:rPr>
              <w:t xml:space="preserve">8</w:t>
            </w:r>
            <w:r>
              <w:rPr>
                <w:rFonts w:hint="eastAsia" w:ascii="宋体" w:hAnsi="宋体" w:eastAsia="宋体" w:cs="宋体"/>
                <w:b w:val="0"/>
                <w:bCs w:val="0"/>
                <w:i w:val="0"/>
                <w:iCs w:val="0"/>
                <w:color w:val="000000"/>
                <w:sz w:val="18"/>
                <w:szCs w:val="18"/>
                <w:highlight w:val="none"/>
                <w:u w:val="none"/>
                <w:lang w:val="en-US" w:eastAsia="zh-CN" w:bidi="ar"/>
              </w:rPr>
              <w:t xml:space="preserve">、轮子:采用优质万向轮，2轮可锁定。</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9</w:t>
            </w:r>
            <w:r>
              <w:rPr>
                <w:rFonts w:hint="eastAsia" w:ascii="宋体" w:hAnsi="宋体" w:eastAsia="宋体" w:cs="宋体"/>
                <w:b w:val="0"/>
                <w:bCs w:val="0"/>
                <w:i w:val="0"/>
                <w:iCs w:val="0"/>
                <w:color w:val="000000"/>
                <w:sz w:val="18"/>
                <w:szCs w:val="18"/>
                <w:highlight w:val="none"/>
                <w:u w:val="none"/>
                <w:lang w:val="en-US" w:eastAsia="zh-CN" w:bidi="ar"/>
              </w:rPr>
              <w:t xml:space="preserve">、前侧配有抽屉，材质为PP塑料。</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移动条桌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78180" cy="593725"/>
                      <wp:effectExtent l="0" t="0" r="7620" b="15875"/>
                      <wp:docPr id="40"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9" descr="IMG_294"/>
                              <pic:cNvPicPr>
                                <a:picLocks noChangeAspect="1"/>
                              </pic:cNvPicPr>
                              <pic:nvPr/>
                            </pic:nvPicPr>
                            <pic:blipFill>
                              <a:blip r:embed="rId50"/>
                              <a:stretch/>
                            </pic:blipFill>
                            <pic:spPr bwMode="auto">
                              <a:xfrm>
                                <a:off x="0" y="0"/>
                                <a:ext cx="678180" cy="593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3.4pt;height:46.8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1300*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480*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top"/>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采用优质环保E0级刨花板，台面厚度25mm，其他厚度16mm，握钉力强，吸水膨胀率低，符合GB/T35601-2017、GB/T4897-2015标准，静曲强度≥14MPa，弹性模量≥2800MPa，内胶合强度≥0.5MPa，表面胶合强度≥1.2MPa，2h吸水厚度膨胀率≤0.8%，板面握螺钉力≥1000N，板边握螺钉力≥700N，甲醛释放量≤0.01mg/m³，产品有害物质（苯、甲苯、二甲苯）均未检出，总挥发性有机物（TVOC）≤18μg/m³</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3、封边：采用优质PVC树脂封边条同色封边，符合QB/T4463-2013标准要求，甲醛释放量符合国标，可溶性铅、可溶性铬、可溶性镉、可溶性汞、可溶性硒均为未检出，封边严密、平整、无脱胶、表面无胶渍。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5、钢制件：面托：3.0mm钢板冲压成型；横梁：40*30*1.2mm长方管；立柱：44*90*1.2mm八边形面包管；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底脚：一字形底脚，冲压完成，3.0mm；铁挡板：厚度1.0mm，冲孔、折弯、焊接完成；</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6、脚轮：带刹车2.5英寸PU静音轮；</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7、书网：采用ø16*1.0mm不锈钢圆管与塑胶件紧密扣合组成；</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8、折叠方式：手动旋钮机关，自动弹回卡位，扣合紧密；喷涂前使用优质环保磷化液前处理，钢制部件整体使用优质环保塑粉静电喷涂，高温固化，确保质量完美；</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85800" cy="1106805"/>
                      <wp:effectExtent l="0" t="0" r="0" b="17145"/>
                      <wp:docPr id="41"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0" descr="IMG_295"/>
                              <pic:cNvPicPr>
                                <a:picLocks noChangeAspect="1"/>
                              </pic:cNvPicPr>
                              <pic:nvPr/>
                            </pic:nvPicPr>
                            <pic:blipFill>
                              <a:blip r:embed="rId51"/>
                              <a:stretch/>
                            </pic:blipFill>
                            <pic:spPr bwMode="auto">
                              <a:xfrm>
                                <a:off x="0" y="0"/>
                                <a:ext cx="685800" cy="11068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4.0pt;height:87.1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长</w:t>
            </w:r>
            <w:r>
              <w:rPr>
                <w:rFonts w:hint="eastAsia" w:ascii="宋体" w:hAnsi="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t xml:space="preserve">570深：</w:t>
            </w:r>
            <w:r>
              <w:rPr>
                <w:rFonts w:hint="eastAsia" w:ascii="宋体" w:hAnsi="宋体" w:cs="宋体"/>
                <w:b w:val="0"/>
                <w:bCs w:val="0"/>
                <w:i w:val="0"/>
                <w:iCs w:val="0"/>
                <w:color w:val="000000"/>
                <w:sz w:val="18"/>
                <w:szCs w:val="18"/>
                <w:highlight w:val="none"/>
                <w:u w:val="none"/>
                <w:lang w:val="en-US" w:eastAsia="zh-CN" w:bidi="ar"/>
              </w:rPr>
              <w:t xml:space="preserve">720</w:t>
            </w:r>
            <w:r>
              <w:rPr>
                <w:rFonts w:hint="eastAsia" w:ascii="宋体" w:hAnsi="宋体" w:eastAsia="宋体" w:cs="宋体"/>
                <w:b w:val="0"/>
                <w:bCs w:val="0"/>
                <w:i w:val="0"/>
                <w:iCs w:val="0"/>
                <w:color w:val="000000"/>
                <w:sz w:val="18"/>
                <w:szCs w:val="18"/>
                <w:highlight w:val="none"/>
                <w:u w:val="none"/>
                <w:lang w:val="en-US" w:eastAsia="zh-CN" w:bidi="ar"/>
              </w:rPr>
              <w:t xml:space="preserve">，总高1050，座高：440，扶手离地高640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产品规格：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1.产品尺寸：中心距：570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，座内宽：510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，座深：470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，座高：440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，扶手高：640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，扶手宽：60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，全高：1050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，全深（座收缩）：56</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，整体深度（座包打开）：72</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，全深（展开写字板）：850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；误差：±5-10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；建议最小行距：900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2.座、背海绵：采用冷发泡定型海绵，高密度（45KG/m3）,使座椅在长时间使用下不变形，舒适度好，回弹性好，永不变形。背海绵长70</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，宽460mm，上部厚110mm±5mm，座海绵宽450mm，前部厚140mm。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3.背外板：采用优质高密度硬木七层弯曲木板，外覆榉木皮，油面采用环保漆，整体美观大方抗变形。背板长760±5mm，上宽44</w:t>
            </w:r>
            <w:r>
              <w:rPr>
                <w:rFonts w:hint="eastAsia" w:ascii="宋体" w:hAnsi="宋体" w:cs="宋体"/>
                <w:b w:val="0"/>
                <w:bCs w:val="0"/>
                <w:i w:val="0"/>
                <w:iCs w:val="0"/>
                <w:color w:val="000000"/>
                <w:sz w:val="18"/>
                <w:szCs w:val="18"/>
                <w:highlight w:val="none"/>
                <w:u w:val="none"/>
                <w:lang w:val="en-US" w:eastAsia="zh-CN" w:bidi="ar"/>
              </w:rPr>
              <w:t xml:space="preserve">0m</w:t>
            </w:r>
            <w:r>
              <w:rPr>
                <w:rFonts w:hint="eastAsia" w:ascii="宋体" w:hAnsi="宋体" w:eastAsia="宋体" w:cs="宋体"/>
                <w:b w:val="0"/>
                <w:bCs w:val="0"/>
                <w:i w:val="0"/>
                <w:iCs w:val="0"/>
                <w:color w:val="000000"/>
                <w:sz w:val="18"/>
                <w:szCs w:val="18"/>
                <w:highlight w:val="none"/>
                <w:u w:val="none"/>
                <w:lang w:val="en-US" w:eastAsia="zh-CN" w:bidi="ar"/>
              </w:rPr>
              <w:t xml:space="preserve">m，下部宽50</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±5mm，厚度为16mm。座板上设有多个吸音孔，采用独特的吸音设计。座底板长42</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±5mm，宽42</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，厚度为12mm。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4.座外板：采用优质高密度硬木多层板经模具压注成型，再经修边、打磨、油漆处理，座板面上制有消音孔，以加强座椅的吸音功能；厚度为12mm。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铝合金支撑脚：站脚采用优质铝合金模具压铸。脚架侧面同时增加了弧线设计，使整个脚架更有立体感。底脚造型为工字造型，与脚架上部整体内嵌，使得站脚在结构坚固的同时更加美观。脚架表面处理经防氧化处理后再经高温喷涂处理，使粉末附着力更强，保证脚架耐腐蚀、不生锈、不褪色。脚架总高度：640mm，顶端长度420mm,宽度60mm。脚掌总长34</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mm,宽50mm，其脚板地脚孔前后中心孔距410mm，脚下端椭圆支点在底部，造型美观，设计符合力学及人体工程学原理，受力均匀，抗冲击、经久耐用，脚架两侧带有加强筋，从而加强座椅的受力点以及承受力度，扶手侧面护板外扣式，分上下二块。采用3mm密度板外覆海绵及优质毛麻面料，保证产品的质量牢固。</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6.扶手面：扶手采用优质橡胶木，四周半椭圆形与脚架衔接并内嵌入于脚架，规格</w:t>
            </w: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40</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50mm，厚度不低于15mm，同时采用脱水干燥缓冲处理，外履环保漆后能有效的耐磨、耐污、不易退色。</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7.写字板：采用</w:t>
            </w:r>
            <w:r>
              <w:rPr>
                <w:rFonts w:hint="eastAsia" w:ascii="宋体" w:hAnsi="宋体" w:cs="宋体"/>
                <w:b w:val="0"/>
                <w:bCs w:val="0"/>
                <w:i w:val="0"/>
                <w:iCs w:val="0"/>
                <w:color w:val="000000"/>
                <w:sz w:val="18"/>
                <w:szCs w:val="18"/>
                <w:highlight w:val="none"/>
                <w:u w:val="none"/>
                <w:lang w:val="en-US" w:eastAsia="zh-CN" w:bidi="ar"/>
              </w:rPr>
              <w:t xml:space="preserve">防</w:t>
            </w:r>
            <w:r>
              <w:rPr>
                <w:rFonts w:hint="eastAsia" w:ascii="宋体" w:hAnsi="宋体" w:eastAsia="宋体" w:cs="宋体"/>
                <w:b w:val="0"/>
                <w:bCs w:val="0"/>
                <w:i w:val="0"/>
                <w:iCs w:val="0"/>
                <w:color w:val="000000"/>
                <w:sz w:val="18"/>
                <w:szCs w:val="18"/>
                <w:highlight w:val="none"/>
                <w:u w:val="none"/>
                <w:lang w:val="en-US" w:eastAsia="zh-CN" w:bidi="ar"/>
              </w:rPr>
              <w:t xml:space="preserve">火写字板，写字板转轴采用特有的定位装置，转轴旋转头为铝合金一体压铸成型，并具有快速自回收撤离功能；支撑连接部件为铁制冲压件成槽型与塑料部件铝件安装成一体，与站脚连接，上下翻动灵活。写字板规格尺寸为：260mm×265mm×12mm，（允许正负偏差1~2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8.座回位装置：座内采用扭簧+阻尼器结构；回位缓慢翻起、耐用、无明显回位噪音。</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9.座、背面料：采用优质专用布料（麻绒、细绒），耐磨，防褪色，柔软度适中。并可根据用户要求选配颜色。</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10.固定螺丝：采用隐藏式防锈静电喷涂的六角膨胀螺丝固定地面。</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密集架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53745" cy="385445"/>
                      <wp:effectExtent l="0" t="0" r="8255" b="14604"/>
                      <wp:docPr id="42"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1" descr="IMG_296"/>
                              <pic:cNvPicPr>
                                <a:picLocks noChangeAspect="1"/>
                              </pic:cNvPicPr>
                              <pic:nvPr/>
                            </pic:nvPicPr>
                            <pic:blipFill>
                              <a:blip r:embed="rId52"/>
                              <a:stretch/>
                            </pic:blipFill>
                            <pic:spPr bwMode="auto">
                              <a:xfrm>
                                <a:off x="0" y="0"/>
                                <a:ext cx="753745" cy="3854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9.3pt;height:30.3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长3750*宽580*高2400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1、底座：用优质冷轧钢制造，框狭式结构。采用中间传动，全轮驱动方式。车轮内装1204号双排精密轴承，传动轴为45号C20实心优质钢结构。</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2、轨道：轨道方钢采用20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*20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优质冷轧方钢制造，轨道底座为三折弯工艺，采用优质冷轧钢制造。</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3、架体：采用优质冷轧钢板。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4.五金配件：采用优质五金配件，无锈蚀，具有足够的承载能力、耐腐蚀能力。</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5、表面处理：高温静电喷塑，优质聚酯性粉沫喷涂。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6、配置：摇手体总成、滚轮轴承：双向超越离合器结构，造型美观大方，手感舒适。+制动装置：+防震装置+防尘板、顶板+防倾装置</w:t>
            </w:r>
            <w:r>
              <w:rPr>
                <w:rFonts w:hint="eastAsia" w:ascii="宋体" w:hAnsi="宋体" w:cs="宋体"/>
                <w:b w:val="0"/>
                <w:bCs w:val="0"/>
                <w:i w:val="0"/>
                <w:iCs w:val="0"/>
                <w:color w:val="000000"/>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玻璃开门储物柜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2770" cy="997585"/>
                      <wp:effectExtent l="0" t="0" r="17780" b="12065"/>
                      <wp:docPr id="43"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2" descr="IMG_297"/>
                              <pic:cNvPicPr>
                                <a:picLocks noChangeAspect="1"/>
                              </pic:cNvPicPr>
                              <pic:nvPr/>
                            </pic:nvPicPr>
                            <pic:blipFill>
                              <a:blip r:embed="rId53"/>
                              <a:stretch/>
                            </pic:blipFill>
                            <pic:spPr bwMode="auto">
                              <a:xfrm>
                                <a:off x="0" y="0"/>
                                <a:ext cx="572770" cy="997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5.1pt;height:78.5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长900*宽450*高2000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lang w:val="en-US" w:eastAsia="zh-CN" w:bidi="ar"/>
              </w:rPr>
              <w:t xml:space="preserve">1、</w:t>
            </w:r>
            <w:r>
              <w:rPr>
                <w:rFonts w:hint="eastAsia" w:ascii="宋体" w:hAnsi="宋体" w:eastAsia="宋体" w:cs="宋体"/>
                <w:b w:val="0"/>
                <w:bCs w:val="0"/>
                <w:i w:val="0"/>
                <w:iCs w:val="0"/>
                <w:color w:val="000000"/>
                <w:sz w:val="18"/>
                <w:szCs w:val="18"/>
                <w:highlight w:val="none"/>
                <w:u w:val="none"/>
                <w:lang w:val="en-US" w:eastAsia="zh-CN" w:bidi="ar"/>
              </w:rPr>
              <w:t xml:space="preserve">采用25MM及16MME0级</w:t>
            </w:r>
            <w:r>
              <w:rPr>
                <w:rFonts w:hint="eastAsia" w:ascii="宋体" w:hAnsi="宋体" w:cs="宋体"/>
                <w:b w:val="0"/>
                <w:bCs w:val="0"/>
                <w:i w:val="0"/>
                <w:iCs w:val="0"/>
                <w:color w:val="000000"/>
                <w:sz w:val="18"/>
                <w:szCs w:val="18"/>
                <w:highlight w:val="none"/>
                <w:u w:val="none"/>
                <w:lang w:val="en-US" w:eastAsia="zh-CN" w:bidi="ar"/>
              </w:rPr>
              <w:t xml:space="preserve">阻燃双饰面刨花板</w:t>
            </w:r>
            <w:r>
              <w:rPr>
                <w:rFonts w:hint="eastAsia" w:ascii="宋体" w:hAnsi="宋体" w:eastAsia="宋体" w:cs="宋体"/>
                <w:b w:val="0"/>
                <w:bCs w:val="0"/>
                <w:i w:val="0"/>
                <w:iCs w:val="0"/>
                <w:color w:val="000000"/>
                <w:sz w:val="18"/>
                <w:szCs w:val="18"/>
                <w:highlight w:val="none"/>
                <w:u w:val="none"/>
                <w:lang w:val="en-US" w:eastAsia="zh-CN" w:bidi="ar"/>
              </w:rPr>
              <w:t xml:space="preserve">，静曲强度、弹性模量、内结合强度、表面胶合强度均要求合格。甲醛释放量符合检测结果，TVOC（总挥发性有机化合物）含量符合国家标准。</w:t>
            </w:r>
            <w:r/>
          </w:p>
          <w:p>
            <w:pPr>
              <w:numPr>
                <w:ilvl w:val="0"/>
                <w:numId w:val="0"/>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lang w:val="en-US" w:eastAsia="zh-CN" w:bidi="ar"/>
              </w:rPr>
              <w:t xml:space="preserve">2、</w:t>
            </w:r>
            <w:r>
              <w:rPr>
                <w:rFonts w:hint="eastAsia" w:ascii="宋体" w:hAnsi="宋体" w:eastAsia="宋体" w:cs="宋体"/>
                <w:b w:val="0"/>
                <w:bCs w:val="0"/>
                <w:i w:val="0"/>
                <w:iCs w:val="0"/>
                <w:color w:val="000000"/>
                <w:sz w:val="18"/>
                <w:szCs w:val="18"/>
                <w:highlight w:val="none"/>
                <w:u w:val="none"/>
                <w:lang w:val="en-US" w:eastAsia="zh-CN" w:bidi="ar"/>
              </w:rPr>
              <w:t xml:space="preserve">封边：采用同色PVC封边，无缝封边，具有良好的耐气候性能，不易受环境、温度变化而产生收缩、膨胀的问题。封边处无脱胶、鼓泡、透胶、露底。甲醛释放量符合检测结果。</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柜面：外表光洁，无污斑，无划痕、无光泽不均、无鼓泡、鼓包、厚度偏差±3mm，垂直度偏差≤2mm/m，边缘直度偏差≤1mm/m、平整度偏差≤1%，表面耐冷热循环、表面耐划痕、表面耐磨、表面耐香烟灼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4、铰链：中性盐雾试验耐腐蚀等级达到10级，操作力、功能：垂直静载荷、水平静载荷、耐久性、下沉量符合国家标准。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5、拉手：边缘圆滑，贴合手指着力点，轻松拉合，无需费力。外表光洁，无污渍，无划痕，无明显色差。耐老化性：外观颜色变色评级达到4级，重金属(可溶性铅、可溶性镉、可溶性鉻、可溶性汞）均≤5mg/kg。</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6、锁具电镀件外露表面应色泽均匀，电镀层无剥落，无反锈，无起泡，无裂纹，无花斑。电镀件耐腐蚀（经过100h的中性盐雾试验后）外观评级达到10级。电镀件耐腐蚀符合国家标准。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default"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管理员办公桌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71525" cy="552450"/>
                      <wp:effectExtent l="0" t="0" r="9525" b="0"/>
                      <wp:docPr id="44"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3" descr="IMG_298"/>
                              <pic:cNvPicPr>
                                <a:picLocks noChangeAspect="1"/>
                              </pic:cNvPicPr>
                              <pic:nvPr/>
                            </pic:nvPicPr>
                            <pic:blipFill>
                              <a:blip r:embed="rId54"/>
                              <a:stretch/>
                            </pic:blipFill>
                            <pic:spPr bwMode="auto">
                              <a:xfrm>
                                <a:off x="0" y="0"/>
                                <a:ext cx="771525" cy="552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0.8pt;height:43.5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长1400*宽700*高750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2"/>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2、基材：采用优质E0级三聚氰胺板,优质绿色环保产品,甲醛释放量，总挥发物有机化合物（TVOC）符合国家标准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；HJ2541-2016《环境标志产品技术要求胶粘剂》标准，游离甲醛，总挥发性有机物符合国家标准。</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序号43和44为一套，最高限价2600元/套(桌+椅)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5945" cy="694055"/>
                      <wp:effectExtent l="0" t="0" r="14604" b="10795"/>
                      <wp:docPr id="45"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44" descr="IMG_299"/>
                              <pic:cNvPicPr>
                                <a:picLocks noChangeAspect="1"/>
                              </pic:cNvPicPr>
                              <pic:nvPr/>
                            </pic:nvPicPr>
                            <pic:blipFill>
                              <a:blip r:embed="rId55"/>
                              <a:stretch/>
                            </pic:blipFill>
                            <pic:spPr bwMode="auto">
                              <a:xfrm>
                                <a:off x="0" y="0"/>
                                <a:ext cx="575945" cy="6940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5.3pt;height:54.6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学生辅导椅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3255" cy="899160"/>
                      <wp:effectExtent l="0" t="0" r="4445" b="15240"/>
                      <wp:docPr id="46"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45" descr="IMG_300"/>
                              <pic:cNvPicPr>
                                <a:picLocks noChangeAspect="1"/>
                              </pic:cNvPicPr>
                              <pic:nvPr/>
                            </pic:nvPicPr>
                            <pic:blipFill>
                              <a:blip r:embed="rId56"/>
                              <a:stretch/>
                            </pic:blipFill>
                            <pic:spPr bwMode="auto">
                              <a:xfrm>
                                <a:off x="0" y="0"/>
                                <a:ext cx="643255" cy="8991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0.6pt;height:70.8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长395*宽390*高（360-460）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A、靠背</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2、尺寸：宽410mm×高340mm×侧深25mm。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3、功能：中间凹进0.5mm为四条透气孔，透气孔尺寸分别为40mm、70mm、105mm、140mm；靠背两边根据人类功效学设计各有三条斜通气长条，通气孔尺寸各为120mm、130mm、140mm；靠背采用插入式设计，可直接插入钢管；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B、坐垫</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2、尺寸：宽395mm×深390mm×侧厚56mm。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垫前端有往下145°且长40mm的C型斜坡，可使坐下时腿部能服贴座垫，进而达到长时间乘坐不压迫，坐垫前段不允许为波浪形；座垫中间有一内陷处可使坐下时臀部能服贴座垫，进而达到长时间乘坐臀部不劳累。两边的通气长条尺寸为122mm×6mm,槽缝设计需通气散热细缝，每条细缝宽度不得超过6mm。坐垫两侧及后部有一圈由两根线条组成的凸条，用于增加坐垫舒适度。</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C、椅钢架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1、材质及形状：采椭圆形亮光钢管组合焊接而成，结构得需牢固，长时间使用不得产生摇晃、松散的现象。焊接完成之钢管架，焊接部位得需牢固，需无脱焊、虚焊、焊穿。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椅座贴地承重钢管尺寸为30mm×60mm×厚1.5mm；椅子横型钢管尺寸为25mm×50mm×厚1.2mm；椅脚承重钢管上部立管钢管尺寸为30mm×70mm×厚1.2mm；坐垫下活动立管钢管尺寸为20mm×60mm×厚1.2mm；坐垫钢管尺寸为16.5mm×34mm×厚1.3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涂装：焊接完成之钢管架，表面经酸洗、脱脂、磷化处理，耐腐蚀、防锈。外表采一级静电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D、升降功能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采用手摇升降功能，椅架为手摇升降结构，钢脚两侧需带有激光设备刻上的升降课桌调节尺寸数字，在椅腿和椅子支撑架内设有高低调节装置包括设在两条椅腿内的螺杆、带内螺纹的方管、轴承、伞型齿轮、传动轴、杆套、摇柄及连接两传动轴的六角型升降合金铝杆；两头升降器用六角形配件连接，连接杆穿在</w:t>
            </w:r>
            <w:r>
              <w:rPr>
                <w:rFonts w:hint="eastAsia" w:ascii="宋体" w:hAnsi="宋体" w:cs="宋体"/>
                <w:b w:val="0"/>
                <w:bCs w:val="0"/>
                <w:i w:val="0"/>
                <w:iCs w:val="0"/>
                <w:color w:val="000000"/>
                <w:sz w:val="18"/>
                <w:szCs w:val="18"/>
                <w:highlight w:val="none"/>
                <w:u w:val="none"/>
                <w:lang w:val="en-US" w:eastAsia="zh-CN" w:bidi="ar"/>
              </w:rPr>
              <w:t xml:space="preserve">25mm×50mm</w:t>
            </w:r>
            <w:r>
              <w:rPr>
                <w:rFonts w:hint="eastAsia" w:ascii="宋体" w:hAnsi="宋体" w:eastAsia="宋体" w:cs="宋体"/>
                <w:b w:val="0"/>
                <w:bCs w:val="0"/>
                <w:i w:val="0"/>
                <w:iCs w:val="0"/>
                <w:color w:val="000000"/>
                <w:sz w:val="18"/>
                <w:szCs w:val="18"/>
                <w:highlight w:val="none"/>
                <w:u w:val="none"/>
                <w:lang w:val="en-US" w:eastAsia="zh-CN" w:bidi="ar"/>
              </w:rPr>
              <w:t xml:space="preserve">的椅脚横型钢管内；升降范围360mm-460mm，可以在几秒钟之内完成和桌子的最合适高度。课椅腿之间装有PP原料一次成型的中间套，确保上下升降调节灵活。（为呵护学生的安全，椅子手摇组件必须置于椅子腿件管内，不可有外露部分，离地面85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2、升降刻度要求：采用激光镭射工艺。确保标记图文清晰度高，并达到永久性标记，不淡化、不模糊、不脱落、不变形。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3、功能与工艺要求：课椅可调节的钢制脚架需清晰标记刻度尺，便于高度调整定位准确、快速。调整刻度从360mm～460mm共10个小层次，小层次间隔10mm，数字代表桌面离地高度,调节桌高可从360mm至460mm。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4、功能：手摇柄插入孔内顺时针旋转椅面上升，逆时针旋转椅面下降，调整便捷顺畅。</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E、脚套</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2、尺寸：75mm×65mm×40mm×厚8mm。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探究桌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0400" cy="525145"/>
                      <wp:effectExtent l="0" t="0" r="6350" b="8255"/>
                      <wp:docPr id="47"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6" descr="IMG_301"/>
                              <pic:cNvPicPr>
                                <a:picLocks noChangeAspect="1"/>
                              </pic:cNvPicPr>
                              <pic:nvPr/>
                            </pic:nvPicPr>
                            <pic:blipFill>
                              <a:blip r:embed="rId57"/>
                              <a:stretch/>
                            </pic:blipFill>
                            <pic:spPr bwMode="auto">
                              <a:xfrm>
                                <a:off x="0" y="0"/>
                                <a:ext cx="660400" cy="5251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2.0pt;height:41.4pt;mso-wrap-distance-left:0.0pt;mso-wrap-distance-top:0.0pt;mso-wrap-distance-right:0.0pt;mso-wrap-distance-bottom:0.0pt;" stroked="f" strokeweight="0.75pt">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直径1600*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1、基材：桌面采用25厚优质E0级三聚氰胺板,优质绿色环保产品,符合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2、封边：采用优质PVC树脂封边条同色封边，符合QB/T4463-2013标准要求，甲醛释放量符合国家保准，可溶性铅、可溶性铬、可溶性镉、可溶性汞、可溶性硒均为未检出，封边严密、平整、无脱胶、表面无胶渍；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3、钢架：采用优质1.5</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厚冷轧钢管，喷涂前使用优质环保磷化液前处理，钢制部件整体使用优质环保塑粉静电喷涂，高温固化，确保质量完美；</w:t>
            </w:r>
            <w:r>
              <w:rPr>
                <w:rFonts w:hint="eastAsia" w:ascii="宋体" w:hAnsi="宋体" w:cs="宋体"/>
                <w:b w:val="0"/>
                <w:bCs w:val="0"/>
                <w:i w:val="0"/>
                <w:iCs w:val="0"/>
                <w:color w:val="000000"/>
                <w:sz w:val="18"/>
                <w:szCs w:val="18"/>
                <w:highlight w:val="none"/>
                <w:u w:val="none"/>
                <w:lang w:val="en-US" w:eastAsia="zh-CN" w:bidi="ar"/>
              </w:rPr>
              <w:t xml:space="preserve"> </w:t>
            </w:r>
            <w:r>
              <w:rPr>
                <w:rFonts w:hint="eastAsia" w:ascii="宋体" w:hAnsi="宋体" w:eastAsia="宋体" w:cs="宋体"/>
                <w:b w:val="0"/>
                <w:bCs w:val="0"/>
                <w:i w:val="0"/>
                <w:iCs w:val="0"/>
                <w:color w:val="000000"/>
                <w:sz w:val="18"/>
                <w:szCs w:val="18"/>
                <w:highlight w:val="none"/>
                <w:u w:val="none"/>
                <w:lang w:val="en-US" w:eastAsia="zh-CN" w:bidi="ar"/>
              </w:rPr>
              <w:t xml:space="preserve">4、台面采用25mm厚，桌面采用圆弧形设计；</w:t>
            </w:r>
            <w:r>
              <w:rPr>
                <w:rFonts w:hint="eastAsia" w:ascii="宋体" w:hAnsi="宋体" w:cs="宋体"/>
                <w:b w:val="0"/>
                <w:bCs w:val="0"/>
                <w:i w:val="0"/>
                <w:iCs w:val="0"/>
                <w:color w:val="000000"/>
                <w:sz w:val="18"/>
                <w:szCs w:val="18"/>
                <w:highlight w:val="none"/>
                <w:u w:val="none"/>
                <w:lang w:val="en-US" w:eastAsia="zh-CN" w:bidi="ar"/>
              </w:rPr>
              <w:t xml:space="preserve">                       </w:t>
            </w:r>
            <w:r>
              <w:rPr>
                <w:rFonts w:hint="eastAsia" w:ascii="宋体" w:hAnsi="宋体" w:eastAsia="宋体" w:cs="宋体"/>
                <w:b w:val="0"/>
                <w:bCs w:val="0"/>
                <w:i w:val="0"/>
                <w:iCs w:val="0"/>
                <w:color w:val="000000"/>
                <w:sz w:val="18"/>
                <w:szCs w:val="18"/>
                <w:highlight w:val="none"/>
                <w:u w:val="none"/>
                <w:lang w:val="en-US" w:eastAsia="zh-CN" w:bidi="ar"/>
              </w:rPr>
              <w:t xml:space="preserve">5、底座带优质尼龙脚垫；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学生椅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77545" cy="946785"/>
                      <wp:effectExtent l="0" t="0" r="8255" b="5715"/>
                      <wp:docPr id="48"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7" descr="IMG_302"/>
                              <pic:cNvPicPr>
                                <a:picLocks noChangeAspect="1"/>
                              </pic:cNvPicPr>
                              <pic:nvPr/>
                            </pic:nvPicPr>
                            <pic:blipFill>
                              <a:blip r:embed="rId58"/>
                              <a:stretch/>
                            </pic:blipFill>
                            <pic:spPr bwMode="auto">
                              <a:xfrm>
                                <a:off x="0" y="0"/>
                                <a:ext cx="677545" cy="9467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53.3pt;height:74.5pt;mso-wrap-distance-left:0.0pt;mso-wrap-distance-top:0.0pt;mso-wrap-distance-right:0.0pt;mso-wrap-distance-bottom:0.0pt;" stroked="f" strokeweight="0.75pt">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长395*宽390*高（360-460）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A、靠背</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2、尺寸：宽410mm×高340mm×侧深25mm。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3、功能：中间凹进0.5mm为四条透气孔，透气孔尺寸分别为40mm、70mm、105mm、140mm；靠背两边根据人类功效学设计各有三条斜通气长条，通气孔尺寸各为120mm、130mm、140mm；靠背采用插入式设计，可直接插入钢管；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B、坐垫</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2、尺寸：宽395mm×深390mm×侧厚56mm。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垫前端有往下145°且长40mm的C型斜坡，可使坐下时腿部能服贴座垫，进而达到长时间乘坐不压迫，坐垫前段不允许为波浪形；座垫中间有一内陷处可使坐下时臀部能服贴座垫，进而达到长时间乘坐臀部不劳累。两边的通气长条尺寸为122mm×6mm,槽缝设计需通气散热细缝，每条细缝宽度不得超过6mm。坐垫两侧及后部有一圈由两根线条组成的凸条，用于增加坐垫舒适度。</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C、椅钢架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1、材质及形状：采椭圆形亮光钢管组合焊接而成，结构得需牢固，长时间使用不得产生摇晃、松散的现象。焊接完成之钢管架，焊接部位得需牢固，需无脱焊、虚焊、焊穿。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椅座贴地承重钢管尺寸为30mm×60mm×厚1.5mm；椅子横型钢管尺寸为25mm×50mm×厚1.2mm；椅脚承重钢管上部立管钢管尺寸为30mm×70mm×厚1.2mm；坐垫下活动立管钢管尺寸为20mm×60mm×厚1.2mm；坐垫钢管尺寸为16.5mm×34mm×厚1.3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涂装：焊接完成之钢管架，表面经酸洗、脱脂、磷化处理，耐腐蚀、防锈。外表采一级静电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D、升降功能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采用手摇升降功能，椅架为手摇升降结构，钢脚两侧需带有激光设备刻上的升降课桌调节尺寸数字，在椅腿和椅子支撑架内设有高低调节装置包括设在两条椅腿内的螺杆、带内螺纹的方管、轴承、伞型齿轮、传动轴、杆套、摇柄及连接两传动轴的六角型升降合金铝杆；两头升降器用六角形配件连接，连接杆穿在</w:t>
            </w:r>
            <w:r>
              <w:rPr>
                <w:rFonts w:hint="eastAsia" w:ascii="宋体" w:hAnsi="宋体" w:cs="宋体"/>
                <w:b w:val="0"/>
                <w:bCs w:val="0"/>
                <w:i w:val="0"/>
                <w:iCs w:val="0"/>
                <w:color w:val="000000"/>
                <w:sz w:val="18"/>
                <w:szCs w:val="18"/>
                <w:highlight w:val="none"/>
                <w:u w:val="none"/>
                <w:lang w:val="en-US" w:eastAsia="zh-CN" w:bidi="ar"/>
              </w:rPr>
              <w:t xml:space="preserve">25mm×50mm</w:t>
            </w:r>
            <w:r>
              <w:rPr>
                <w:rFonts w:hint="eastAsia" w:ascii="宋体" w:hAnsi="宋体" w:eastAsia="宋体" w:cs="宋体"/>
                <w:b w:val="0"/>
                <w:bCs w:val="0"/>
                <w:i w:val="0"/>
                <w:iCs w:val="0"/>
                <w:color w:val="000000"/>
                <w:sz w:val="18"/>
                <w:szCs w:val="18"/>
                <w:highlight w:val="none"/>
                <w:u w:val="none"/>
                <w:lang w:val="en-US" w:eastAsia="zh-CN" w:bidi="ar"/>
              </w:rPr>
              <w:t xml:space="preserve">的椅脚横型钢管内；升降范围360mm-460mm，可以在几秒钟之内完成和桌子的最合适高度。课椅腿之间装有PP原料一次成型的中间套，确保上下升降调节灵活。（为呵护学生的安全，椅子手摇组件必须置于椅子腿件管内，不可有外露部分，离地面85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2、升降刻度要求：采用激光镭射工艺。确保标记图文清晰度高，并达到永久性标记，不淡化、不模糊、不脱落、不变形。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3、功能与工艺要求：课椅可调节的钢制脚架需清晰标记刻度尺，便于高度调整定位准确、快速。调整刻度从360mm～460mm共10个小层次，小层次间隔10mm，数字代表桌面离地高度,调节桌高可从360mm至460mm。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4、功能：手摇柄插入孔内顺时针旋转椅面上升，逆时针旋转椅面下降，调整便捷顺畅。</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E、脚套</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2、尺寸：75mm×65mm×40mm×厚8mm。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探究桌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2780" cy="563880"/>
                      <wp:effectExtent l="0" t="0" r="13970" b="7620"/>
                      <wp:docPr id="49"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48" descr="IMG_303"/>
                              <pic:cNvPicPr>
                                <a:picLocks noChangeAspect="1"/>
                              </pic:cNvPicPr>
                              <pic:nvPr/>
                            </pic:nvPicPr>
                            <pic:blipFill>
                              <a:blip r:embed="rId59"/>
                              <a:stretch/>
                            </pic:blipFill>
                            <pic:spPr bwMode="auto">
                              <a:xfrm>
                                <a:off x="0" y="0"/>
                                <a:ext cx="652780" cy="5638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1.4pt;height:44.4pt;mso-wrap-distance-left:0.0pt;mso-wrap-distance-top:0.0pt;mso-wrap-distance-right:0.0pt;mso-wrap-distance-bottom:0.0pt;" stroked="f" strokeweight="0.75pt">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直径1600*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加书包箱</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5、钢架：采用优质1.5mm厚冷轧钢管，喷涂前使用优质环保磷化液前处理，钢制部件整体使用优质环保塑粉静电喷涂，高温固化，确保质量完美；</w:t>
            </w:r>
            <w:r>
              <w:rPr>
                <w:rFonts w:hint="eastAsia" w:ascii="宋体" w:hAnsi="宋体" w:cs="宋体"/>
                <w:b w:val="0"/>
                <w:bCs w:val="0"/>
                <w:i w:val="0"/>
                <w:iCs w:val="0"/>
                <w:color w:val="000000"/>
                <w:sz w:val="18"/>
                <w:szCs w:val="18"/>
                <w:highlight w:val="none"/>
                <w:u w:val="none"/>
                <w:lang w:val="en-US" w:eastAsia="zh-CN" w:bidi="ar"/>
              </w:rPr>
              <w:t xml:space="preserve">                             </w:t>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阅览桌（不要中间凹槽）</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18490" cy="485140"/>
                      <wp:effectExtent l="0" t="0" r="10160" b="10160"/>
                      <wp:docPr id="50"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9" descr="IMG_304"/>
                              <pic:cNvPicPr>
                                <a:picLocks noChangeAspect="1"/>
                              </pic:cNvPicPr>
                              <pic:nvPr/>
                            </pic:nvPicPr>
                            <pic:blipFill>
                              <a:blip r:embed="rId60"/>
                              <a:stretch/>
                            </pic:blipFill>
                            <pic:spPr bwMode="auto">
                              <a:xfrm>
                                <a:off x="0" y="0"/>
                                <a:ext cx="618490" cy="485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8.7pt;height:38.2pt;mso-wrap-distance-left:0.0pt;mso-wrap-distance-top:0.0pt;mso-wrap-distance-right:0.0pt;mso-wrap-distance-bottom:0.0pt;" stroked="f" strokeweight="0.75pt">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1000*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4、产品的材质、结构安全等符合GB/T35607-2017《绿色产品评价家具》等标准要求。</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阅览椅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99745" cy="476885"/>
                      <wp:effectExtent l="0" t="0" r="14604" b="18415"/>
                      <wp:docPr id="51" name="图片 50" descr="IMG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0" descr="IMG_305"/>
                              <pic:cNvPicPr>
                                <a:picLocks noChangeAspect="1"/>
                              </pic:cNvPicPr>
                              <pic:nvPr/>
                            </pic:nvPicPr>
                            <pic:blipFill>
                              <a:blip r:embed="rId61"/>
                              <a:stretch/>
                            </pic:blipFill>
                            <pic:spPr bwMode="auto">
                              <a:xfrm>
                                <a:off x="0" y="0"/>
                                <a:ext cx="499745" cy="4768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39.4pt;height:37.5pt;mso-wrap-distance-left:0.0pt;mso-wrap-distance-top:0.0pt;mso-wrap-distance-right:0.0pt;mso-wrap-distance-bottom:0.0pt;" stroked="f" strokeweight="0.75pt">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420*475*790(坐高400）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4、产品的材质、结构安全等符合GB/T35607-2017《绿色产品评价家具》等标准要求。</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圆形书架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08000" cy="444500"/>
                      <wp:effectExtent l="0" t="0" r="6350" b="12700"/>
                      <wp:docPr id="52"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51" descr="IMG_306"/>
                              <pic:cNvPicPr>
                                <a:picLocks noChangeAspect="1"/>
                              </pic:cNvPicPr>
                              <pic:nvPr/>
                            </pic:nvPicPr>
                            <pic:blipFill>
                              <a:blip r:embed="rId62"/>
                              <a:stretch/>
                            </pic:blipFill>
                            <pic:spPr bwMode="auto">
                              <a:xfrm>
                                <a:off x="0" y="0"/>
                                <a:ext cx="508000" cy="444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0.0pt;height:35.0pt;mso-wrap-distance-left:0.0pt;mso-wrap-distance-top:0.0pt;mso-wrap-distance-right:0.0pt;mso-wrap-distance-bottom:0.0pt;" stroked="f" strokeweight="0.75pt">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直径</w:t>
            </w:r>
            <w:r>
              <w:rPr>
                <w:rFonts w:hint="eastAsia" w:ascii="宋体" w:hAnsi="宋体" w:eastAsia="宋体" w:cs="宋体"/>
                <w:b w:val="0"/>
                <w:bCs w:val="0"/>
                <w:i w:val="0"/>
                <w:iCs w:val="0"/>
                <w:color w:val="000000"/>
                <w:sz w:val="18"/>
                <w:szCs w:val="18"/>
                <w:highlight w:val="none"/>
                <w:u w:val="none"/>
                <w:lang w:val="en-US" w:eastAsia="zh-CN" w:bidi="ar"/>
              </w:rPr>
              <w:t xml:space="preserve">1400*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组合沙发书柜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3255" cy="482600"/>
                      <wp:effectExtent l="0" t="0" r="4445" b="12700"/>
                      <wp:docPr id="53"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2" descr="IMG_307"/>
                              <pic:cNvPicPr>
                                <a:picLocks noChangeAspect="1"/>
                              </pic:cNvPicPr>
                              <pic:nvPr/>
                            </pic:nvPicPr>
                            <pic:blipFill>
                              <a:blip r:embed="rId63"/>
                              <a:stretch/>
                            </pic:blipFill>
                            <pic:spPr bwMode="auto">
                              <a:xfrm>
                                <a:off x="0" y="0"/>
                                <a:ext cx="643255" cy="4826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0.6pt;height:38.0pt;mso-wrap-distance-left:0.0pt;mso-wrap-distance-top:0.0pt;mso-wrap-distance-right:0.0pt;mso-wrap-distance-bottom:0.0pt;" stroked="f" strokeweight="0.75pt">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2660*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软包：1、采用西皮，甲醛、可萃取重金属（铅、镉）、可裂解出致癌芳香胺的偶氮染料、五氯苯酚均符合国家相关标准；无异常气味；色牢度（沾色）：耐水、耐酸汗液、耐碱汗液、耐干摩擦、耐唾液均复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感官要求检测合格，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柜子：1、基材：采用环保E0级刨花板，厚度16mm，握钉力强、吸水膨胀率低、静曲强度、弹性模量、内胶合强度，表面胶合强度、握螺钉力、甲醛释放量、总挥发性有机物符合国家相关标准。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双面书架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18795" cy="848360"/>
                      <wp:effectExtent l="0" t="0" r="14604" b="8890"/>
                      <wp:docPr id="54"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53" descr="IMG_308"/>
                              <pic:cNvPicPr>
                                <a:picLocks noChangeAspect="1"/>
                              </pic:cNvPicPr>
                              <pic:nvPr/>
                            </pic:nvPicPr>
                            <pic:blipFill>
                              <a:blip r:embed="rId64"/>
                              <a:stretch/>
                            </pic:blipFill>
                            <pic:spPr bwMode="auto">
                              <a:xfrm>
                                <a:off x="0" y="0"/>
                                <a:ext cx="518795" cy="848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0.9pt;height:66.8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3600*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多功能书柜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67690" cy="354965"/>
                      <wp:effectExtent l="0" t="0" r="3810" b="6985"/>
                      <wp:docPr id="55"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4" descr="IMG_309"/>
                              <pic:cNvPicPr>
                                <a:picLocks noChangeAspect="1"/>
                              </pic:cNvPicPr>
                              <pic:nvPr/>
                            </pic:nvPicPr>
                            <pic:blipFill>
                              <a:blip r:embed="rId65"/>
                              <a:stretch/>
                            </pic:blipFill>
                            <pic:spPr bwMode="auto">
                              <a:xfrm>
                                <a:off x="0" y="0"/>
                                <a:ext cx="567690" cy="3549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4.7pt;height:27.9pt;mso-wrap-distance-left:0.0pt;mso-wrap-distance-top:0.0pt;mso-wrap-distance-right:0.0pt;mso-wrap-distance-bottom:0.0pt;" stroked="f" strokeweight="0.75pt">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5600*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1182</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42290" cy="320675"/>
                      <wp:effectExtent l="0" t="0" r="10160" b="3175"/>
                      <wp:docPr id="56" name="图片 55" descr="IMG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5" descr="IMG_310"/>
                              <pic:cNvPicPr>
                                <a:picLocks noChangeAspect="1"/>
                              </pic:cNvPicPr>
                              <pic:nvPr/>
                            </pic:nvPicPr>
                            <pic:blipFill>
                              <a:blip r:embed="rId66"/>
                              <a:stretch/>
                            </pic:blipFill>
                            <pic:spPr bwMode="auto">
                              <a:xfrm>
                                <a:off x="0" y="0"/>
                                <a:ext cx="542290" cy="320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2.7pt;height:25.2pt;mso-wrap-distance-left:0.0pt;mso-wrap-distance-top:0.0pt;mso-wrap-distance-right:0.0pt;mso-wrap-distance-bottom:0.0pt;" stroked="f" strokeweight="0.75pt">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2660*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书架沙发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26745" cy="213360"/>
                      <wp:effectExtent l="0" t="0" r="1905" b="15240"/>
                      <wp:docPr id="57"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56" descr="IMG_311"/>
                              <pic:cNvPicPr>
                                <a:picLocks noChangeAspect="1"/>
                              </pic:cNvPicPr>
                              <pic:nvPr/>
                            </pic:nvPicPr>
                            <pic:blipFill>
                              <a:blip r:embed="rId67"/>
                              <a:stretch/>
                            </pic:blipFill>
                            <pic:spPr bwMode="auto">
                              <a:xfrm>
                                <a:off x="0" y="0"/>
                                <a:ext cx="626745" cy="2133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9.3pt;height:16.8pt;mso-wrap-distance-left:0.0pt;mso-wrap-distance-top:0.0pt;mso-wrap-distance-right:0.0pt;mso-wrap-distance-bottom:0.0pt;" stroked="f" strokeweight="0.75pt">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90</w:t>
            </w:r>
            <w:r>
              <w:rPr>
                <w:rFonts w:hint="eastAsia" w:ascii="宋体" w:hAnsi="宋体" w:cs="宋体"/>
                <w:b w:val="0"/>
                <w:bCs w:val="0"/>
                <w:i w:val="0"/>
                <w:iCs w:val="0"/>
                <w:color w:val="000000"/>
                <w:sz w:val="18"/>
                <w:szCs w:val="18"/>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1、面料：采用</w:t>
            </w:r>
            <w:r>
              <w:rPr>
                <w:rFonts w:hint="eastAsia" w:ascii="宋体" w:hAnsi="宋体" w:cs="宋体"/>
                <w:b w:val="0"/>
                <w:bCs w:val="0"/>
                <w:i w:val="0"/>
                <w:iCs w:val="0"/>
                <w:color w:val="000000"/>
                <w:sz w:val="18"/>
                <w:szCs w:val="18"/>
                <w:highlight w:val="none"/>
                <w:u w:val="none"/>
                <w:lang w:val="en-US" w:eastAsia="zh-CN" w:bidi="ar"/>
              </w:rPr>
              <w:t xml:space="preserve">超纤皮</w:t>
            </w:r>
            <w:r>
              <w:rPr>
                <w:rFonts w:hint="eastAsia" w:ascii="宋体" w:hAnsi="宋体" w:eastAsia="宋体" w:cs="宋体"/>
                <w:b w:val="0"/>
                <w:bCs w:val="0"/>
                <w:i w:val="0"/>
                <w:iCs w:val="0"/>
                <w:color w:val="000000"/>
                <w:sz w:val="18"/>
                <w:szCs w:val="18"/>
                <w:highlight w:val="none"/>
                <w:u w:val="none"/>
                <w:lang w:val="en-US" w:eastAsia="zh-CN" w:bidi="ar"/>
              </w:rPr>
              <w:t xml:space="preserve">，甲醛、可萃取重金属（铅、镉）、可裂解出致癌芳香胺的偶氮染料、五氯苯酚均符合国家相关标准；无异常气味；色牢度（沾色）：耐水、耐酸汗液、耐碱汗液、耐干摩擦、耐唾液均复符合国家相关标准。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感官要求检测合格，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柜子：1、基材：采用环保E0级刨花板，厚度16mm，握钉力强、吸水膨胀率低、静曲强度、弹性模量、内胶合强度，表面胶合强度、握螺钉力、甲醛释放量、总挥发性有机物符合国家相关标准。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模块沙发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11200" cy="420370"/>
                      <wp:effectExtent l="0" t="0" r="12700" b="17780"/>
                      <wp:docPr id="58"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57" descr="IMG_312"/>
                              <pic:cNvPicPr>
                                <a:picLocks noChangeAspect="1"/>
                              </pic:cNvPicPr>
                              <pic:nvPr/>
                            </pic:nvPicPr>
                            <pic:blipFill>
                              <a:blip r:embed="rId68"/>
                              <a:stretch/>
                            </pic:blipFill>
                            <pic:spPr bwMode="auto">
                              <a:xfrm>
                                <a:off x="0" y="0"/>
                                <a:ext cx="711200" cy="4203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6.0pt;height:33.1pt;mso-wrap-distance-left:0.0pt;mso-wrap-distance-top:0.0pt;mso-wrap-distance-right:0.0pt;mso-wrap-distance-bottom:0.0pt;" stroked="f" strokeweight="0.75pt">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2300*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740*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750(座高430）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2、基材：采用优质E0级阻燃</w:t>
            </w:r>
            <w:r>
              <w:rPr>
                <w:rFonts w:hint="eastAsia" w:ascii="宋体" w:hAnsi="宋体" w:cs="宋体"/>
                <w:b w:val="0"/>
                <w:bCs w:val="0"/>
                <w:i w:val="0"/>
                <w:iCs w:val="0"/>
                <w:color w:val="000000"/>
                <w:sz w:val="18"/>
                <w:szCs w:val="18"/>
                <w:highlight w:val="none"/>
                <w:u w:val="none"/>
                <w:lang w:val="en-US" w:eastAsia="zh-CN" w:bidi="ar"/>
              </w:rPr>
              <w:t xml:space="preserve">多层板</w:t>
            </w:r>
            <w:r>
              <w:rPr>
                <w:rFonts w:hint="eastAsia" w:ascii="宋体" w:hAnsi="宋体" w:eastAsia="宋体" w:cs="宋体"/>
                <w:b w:val="0"/>
                <w:bCs w:val="0"/>
                <w:i w:val="0"/>
                <w:iCs w:val="0"/>
                <w:color w:val="000000"/>
                <w:sz w:val="18"/>
                <w:szCs w:val="18"/>
                <w:highlight w:val="none"/>
                <w:u w:val="none"/>
                <w:lang w:val="en-US" w:eastAsia="zh-CN" w:bidi="ar"/>
              </w:rPr>
              <w:t xml:space="preserve">,优质绿色环保产品,符合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5、软包饰面：采用优质阻燃超纤皮，经液氨多道浸色及防潮、防腐等工艺处理，皮面手感柔软舒适，光泽持久，且透气性、韧性等理化指标更胜一筹，符合标准GB/T16799-2018《家具用皮革》；</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6、海绵：采用冷发泡定型海绵。色泽：颜色应均匀，允许轻微杂色，黄芯。气孔：不允许有长度大于6mm的对穿孔和长度大于10mm的气孔。无刺激性气味。75%压缩永久变形率≤8%。回弹率≥35%；7、三个为一组</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沙发书架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27380" cy="413385"/>
                      <wp:effectExtent l="0" t="0" r="1270" b="5715"/>
                      <wp:docPr id="59"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8" descr="IMG_313"/>
                              <pic:cNvPicPr>
                                <a:picLocks noChangeAspect="1"/>
                              </pic:cNvPicPr>
                              <pic:nvPr/>
                            </pic:nvPicPr>
                            <pic:blipFill>
                              <a:blip r:embed="rId69"/>
                              <a:stretch/>
                            </pic:blipFill>
                            <pic:spPr bwMode="auto">
                              <a:xfrm>
                                <a:off x="0" y="0"/>
                                <a:ext cx="627380" cy="4133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9.4pt;height:32.5pt;mso-wrap-distance-left:0.0pt;mso-wrap-distance-top:0.0pt;mso-wrap-distance-right:0.0pt;mso-wrap-distance-bottom:0.0pt;" stroked="f" strokeweight="0.75pt">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1、面料：采用</w:t>
            </w:r>
            <w:r>
              <w:rPr>
                <w:rFonts w:hint="eastAsia" w:ascii="宋体" w:hAnsi="宋体" w:cs="宋体"/>
                <w:b w:val="0"/>
                <w:bCs w:val="0"/>
                <w:i w:val="0"/>
                <w:iCs w:val="0"/>
                <w:color w:val="000000"/>
                <w:sz w:val="18"/>
                <w:szCs w:val="18"/>
                <w:highlight w:val="none"/>
                <w:u w:val="none"/>
                <w:lang w:val="en-US" w:eastAsia="zh-CN" w:bidi="ar"/>
              </w:rPr>
              <w:t xml:space="preserve">超纤皮</w:t>
            </w:r>
            <w:r>
              <w:rPr>
                <w:rFonts w:hint="eastAsia" w:ascii="宋体" w:hAnsi="宋体" w:eastAsia="宋体" w:cs="宋体"/>
                <w:b w:val="0"/>
                <w:bCs w:val="0"/>
                <w:i w:val="0"/>
                <w:iCs w:val="0"/>
                <w:color w:val="000000"/>
                <w:sz w:val="18"/>
                <w:szCs w:val="18"/>
                <w:highlight w:val="none"/>
                <w:u w:val="none"/>
                <w:lang w:val="en-US" w:eastAsia="zh-CN" w:bidi="ar"/>
              </w:rPr>
              <w:t xml:space="preserve">，甲醛、可萃取重金属（铅、镉）、可裂解出致癌芳香胺的偶氮染料、五氯苯酚均符合国家相关标准；无异常气味；色牢度（沾色）：耐水、耐酸汗液、耐碱汗液、耐干摩擦、耐唾液均复符合国家相关标准。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感官要求检测合格，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柜子：1、基材：采用环保E0级刨花板，厚度16mm，握钉力强、吸水膨胀率低、静曲强度、弹性模量、内胶合强度，表面胶合强度、握螺钉力、甲醛释放量、总挥发性有机物符合国家相关标准。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边几</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5945" cy="497205"/>
                      <wp:effectExtent l="0" t="0" r="14604" b="17145"/>
                      <wp:docPr id="60"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59" descr="IMG_314"/>
                              <pic:cNvPicPr>
                                <a:picLocks noChangeAspect="1"/>
                              </pic:cNvPicPr>
                              <pic:nvPr/>
                            </pic:nvPicPr>
                            <pic:blipFill>
                              <a:blip r:embed="rId70"/>
                              <a:stretch/>
                            </pic:blipFill>
                            <pic:spPr bwMode="auto">
                              <a:xfrm>
                                <a:off x="0" y="0"/>
                                <a:ext cx="575945" cy="4972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5.3pt;height:39.1pt;mso-wrap-distance-left:0.0pt;mso-wrap-distance-top:0.0pt;mso-wrap-distance-right:0.0pt;mso-wrap-distance-bottom:0.0pt;" stroked="f" strokeweight="0.75pt">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直径</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1、桌面：采用优质岩板。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2、茶几脚：钢管壁厚≥1.2mm，表面喷塑，高压静电喷塑前经过13道前期处理，无甲醛释放量，底脚防滑脚垫；钢制件的酸性盐雾试验符合标准GB/T10125-2021《人造气氛腐蚀试验盐雾试验》；</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休闲石头沙发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93090" cy="714375"/>
                      <wp:effectExtent l="0" t="0" r="16510" b="9525"/>
                      <wp:docPr id="61"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60" descr="IMG_315"/>
                              <pic:cNvPicPr>
                                <a:picLocks noChangeAspect="1"/>
                              </pic:cNvPicPr>
                              <pic:nvPr/>
                            </pic:nvPicPr>
                            <pic:blipFill>
                              <a:blip r:embed="rId71"/>
                              <a:stretch/>
                            </pic:blipFill>
                            <pic:spPr bwMode="auto">
                              <a:xfrm>
                                <a:off x="0" y="0"/>
                                <a:ext cx="593090"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6.7pt;height:56.2pt;mso-wrap-distance-left:0.0pt;mso-wrap-distance-top:0.0pt;mso-wrap-distance-right:0.0pt;mso-wrap-distance-bottom:0.0pt;" stroked="f" strokeweight="0.75pt">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料：采用阻燃绒布，染色牢度：耐水（变色、沾色）、耐酸汗渍（变色、沾色）、耐碱汗渍（变色、沾色）、耐唾液（变色、沾色）、耐干摩擦）、甲醛含量、可分解致癌芳香胺染料、异味、抗引燃特性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感官要求检测合格，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3、框架：采用实木方，木材含水率、甲醛释放量符合国家相关标准。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休闲石头沙发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42290" cy="653415"/>
                      <wp:effectExtent l="0" t="0" r="10160" b="13335"/>
                      <wp:docPr id="62"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1" descr="IMG_316"/>
                              <pic:cNvPicPr>
                                <a:picLocks noChangeAspect="1"/>
                              </pic:cNvPicPr>
                              <pic:nvPr/>
                            </pic:nvPicPr>
                            <pic:blipFill>
                              <a:blip r:embed="rId72"/>
                              <a:stretch/>
                            </pic:blipFill>
                            <pic:spPr bwMode="auto">
                              <a:xfrm>
                                <a:off x="0" y="0"/>
                                <a:ext cx="542290" cy="6534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2.7pt;height:51.4pt;mso-wrap-distance-left:0.0pt;mso-wrap-distance-top:0.0pt;mso-wrap-distance-right:0.0pt;mso-wrap-distance-bottom:0.0pt;" stroked="f" strokeweight="0.75pt">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570*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570*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料：采用阻燃绒布，染色牢度：耐水（变色、沾色）、耐酸汗渍（变色、沾色）、耐碱汗渍（变色、沾色）、耐唾液（变色、沾色）、耐干摩擦）、甲醛含量、可分解致癌芳香胺染料、异味、抗引燃特性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感官要求检测合格，恒定负荷反复压陷疲劳性能，甲醛释放量,TVOC，物理力学性能（65%/25%压陷比、75%压缩永久变形、回弹率、拉伸强度、伸长率、撕裂强度、干热老化后拉伸强度、干热老化后拉伸强度变化率、湿热老化后拉伸强度、湿热老化后拉伸强度变化率）均需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3、框架：采用实木方，木材含水率、甲醛释放量符合国家相关标准。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84200" cy="557530"/>
                      <wp:effectExtent l="0" t="0" r="6350" b="13970"/>
                      <wp:docPr id="63"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2" descr="IMG_317"/>
                              <pic:cNvPicPr>
                                <a:picLocks noChangeAspect="1"/>
                              </pic:cNvPicPr>
                              <pic:nvPr/>
                            </pic:nvPicPr>
                            <pic:blipFill>
                              <a:blip r:embed="rId73"/>
                              <a:stretch/>
                            </pic:blipFill>
                            <pic:spPr bwMode="auto">
                              <a:xfrm>
                                <a:off x="0" y="0"/>
                                <a:ext cx="584200" cy="5575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6.0pt;height:43.9pt;mso-wrap-distance-left:0.0pt;mso-wrap-distance-top:0.0pt;mso-wrap-distance-right:0.0pt;mso-wrap-distance-bottom:0.0pt;" stroked="f" strokeweight="0.75pt">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1、基材：采用环保E0级刨花板，台面厚度25mm，握钉力强、吸水膨胀率低、静曲强度、弹性模量、内胶合强度，表面胶合强度、握螺钉力、甲醛释放量、总挥发性有机物符合国家相关标准。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2、面材：采用符合国家标环保三聚氰胺纸，甲醛释放量，符合国家相关标准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3、封边：采用PVC封边条，外观、理化性能；多溴联苯、多溴联苯醚、甲醛释放量、可迁移元素、邻苯二甲酸酯、氯乙烯单体符合国家相关标准。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4、热熔胶：采用环保热熔胶，卤代烃含量、总挥发性有机物、甲苯+乙苯+二甲苯符合国家相关标准。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5、配件：采用连接五金。</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6、桌脚：采用橡胶木。</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最高限价650元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活动桌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3255" cy="533400"/>
                      <wp:effectExtent l="0" t="0" r="4445" b="0"/>
                      <wp:docPr id="64"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63" descr="IMG_318"/>
                              <pic:cNvPicPr>
                                <a:picLocks noChangeAspect="1"/>
                              </pic:cNvPicPr>
                              <pic:nvPr/>
                            </pic:nvPicPr>
                            <pic:blipFill>
                              <a:blip r:embed="rId74"/>
                              <a:stretch/>
                            </pic:blipFill>
                            <pic:spPr bwMode="auto">
                              <a:xfrm>
                                <a:off x="0" y="0"/>
                                <a:ext cx="643255" cy="533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0.6pt;height:42.0pt;mso-wrap-distance-left:0.0pt;mso-wrap-distance-top:0.0pt;mso-wrap-distance-right:0.0pt;mso-wrap-distance-bottom:0.0pt;" stroked="f" strokeweight="0.75pt">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3"/>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基材：采用优质E0级阻燃桦木芯多层板,优质绿色环保产品,符合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2、封边：采用优质PVC树脂封边条同色封边，符合QB/T4463-2013标准要求，甲醛释放量符合国家保准，可溶性铅、可溶性铬、可溶性镉、可溶性汞、可溶性硒均为未检出，封边严密、平整、无脱胶、表面无胶渍；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3、钢架：采用优质1.5mm厚冷轧钢管，喷涂前使用优质环保磷化液前处理，钢制部件整体使用优质环保塑粉静电喷涂，高温固化，确保质量完美；</w:t>
            </w:r>
            <w:r/>
          </w:p>
          <w:p>
            <w:pPr>
              <w:numPr>
                <w:ilvl w:val="0"/>
                <w:numId w:val="0"/>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lang w:val="en-US" w:eastAsia="zh-CN" w:bidi="ar"/>
              </w:rPr>
              <w:t xml:space="preserve">3、</w:t>
            </w:r>
            <w:r>
              <w:rPr>
                <w:rFonts w:hint="eastAsia" w:ascii="宋体" w:hAnsi="宋体" w:eastAsia="宋体" w:cs="宋体"/>
                <w:b w:val="0"/>
                <w:bCs w:val="0"/>
                <w:i w:val="0"/>
                <w:iCs w:val="0"/>
                <w:color w:val="000000"/>
                <w:sz w:val="18"/>
                <w:szCs w:val="18"/>
                <w:highlight w:val="none"/>
                <w:u w:val="none"/>
                <w:lang w:val="en-US" w:eastAsia="zh-CN" w:bidi="ar"/>
              </w:rPr>
              <w:t xml:space="preserve">台面采用25mm厚，桌面四角采用圆弧形设计；</w:t>
            </w:r>
            <w:r/>
          </w:p>
          <w:p>
            <w:pPr>
              <w:numPr>
                <w:ilvl w:val="0"/>
                <w:numId w:val="0"/>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lang w:val="en-US" w:eastAsia="zh-CN" w:bidi="ar"/>
              </w:rPr>
              <w:t xml:space="preserve">4、</w:t>
            </w:r>
            <w:r>
              <w:rPr>
                <w:rFonts w:hint="eastAsia" w:ascii="宋体" w:hAnsi="宋体" w:eastAsia="宋体" w:cs="宋体"/>
                <w:b w:val="0"/>
                <w:bCs w:val="0"/>
                <w:i w:val="0"/>
                <w:iCs w:val="0"/>
                <w:color w:val="000000"/>
                <w:sz w:val="18"/>
                <w:szCs w:val="18"/>
                <w:highlight w:val="none"/>
                <w:u w:val="none"/>
                <w:lang w:val="en-US" w:eastAsia="zh-CN" w:bidi="ar"/>
              </w:rPr>
              <w:t xml:space="preserve">底座带优质脚垫，桌腿滚轮方便移动、固定，防止噪音，避免刮伤地板，桌面可平放和折起来，有利于扩展空间，便于学生使用；</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6、桌下置物板尺寸：长925mm*宽200mm*高115mm，两侧及后侧高起，两侧铁片在原基础加厚；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学生椅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768985"/>
                      <wp:effectExtent l="0" t="0" r="0" b="12065"/>
                      <wp:docPr id="65"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4" descr="IMG_319"/>
                              <pic:cNvPicPr>
                                <a:picLocks noChangeAspect="1"/>
                              </pic:cNvPicPr>
                              <pic:nvPr/>
                            </pic:nvPicPr>
                            <pic:blipFill>
                              <a:blip r:embed="rId75"/>
                              <a:stretch/>
                            </pic:blipFill>
                            <pic:spPr bwMode="auto">
                              <a:xfrm>
                                <a:off x="0" y="0"/>
                                <a:ext cx="609600" cy="7689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8.0pt;height:60.5pt;mso-wrap-distance-left:0.0pt;mso-wrap-distance-top:0.0pt;mso-wrap-distance-right:0.0pt;mso-wrap-distance-bottom:0.0pt;" stroked="f" strokeweight="0.75pt">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410*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370*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（360-460）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A、坐垫</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2、尺寸：宽380mm×深280mm。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B、椅钢架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1、材质及形状：采用椭圆形亮光钢管组合焊接而成，结构得需牢固，长时间使用不得产生摇晃、松散的现象。焊接完成之钢管架，焊接部位得需牢固，需无脱焊、虚焊、焊穿。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2、尺寸：椅座贴地承重钢管尺寸为30mm×60mm×厚1.5mm；椅子横型钢管尺寸为25mm×50mm×厚1.2mm；椅脚承重钢管上部立管钢管尺寸为30mm×70mm×厚1.2mm；坐垫下活动立管钢管尺寸为20mm×60mm×厚1.2mm；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涂装：焊接完成之钢管架，表面经酸洗、脱脂、磷化处理，耐腐蚀、防锈。外表采一级静电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C、升降功能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1、采用卡扣式升降。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2、紧固件材质采用高强度不锈钢。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D、脚套</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1、材质：采用PP原料粒子一体注塑成型，并用圆头十字自攻螺丝连接钢脚。</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2.尺寸：长66mm×宽80mm×高42mm。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储物矮柜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1980" cy="451485"/>
                      <wp:effectExtent l="0" t="0" r="7620" b="5715"/>
                      <wp:docPr id="66" name="图片 65" descr="IMG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5" descr="IMG_320"/>
                              <pic:cNvPicPr>
                                <a:picLocks noChangeAspect="1"/>
                              </pic:cNvPicPr>
                              <pic:nvPr/>
                            </pic:nvPicPr>
                            <pic:blipFill>
                              <a:blip r:embed="rId76"/>
                              <a:stretch/>
                            </pic:blipFill>
                            <pic:spPr bwMode="auto">
                              <a:xfrm>
                                <a:off x="0" y="0"/>
                                <a:ext cx="601980" cy="451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4pt;height:35.5pt;mso-wrap-distance-left:0.0pt;mso-wrap-distance-top:0.0pt;mso-wrap-distance-right:0.0pt;mso-wrap-distance-bottom:0.0pt;" stroked="f" strokeweight="0.75pt">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合班学生桌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1510" cy="540385"/>
                      <wp:effectExtent l="0" t="0" r="15240" b="12065"/>
                      <wp:docPr id="67"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6" descr="IMG_321"/>
                              <pic:cNvPicPr>
                                <a:picLocks noChangeAspect="1"/>
                              </pic:cNvPicPr>
                              <pic:nvPr/>
                            </pic:nvPicPr>
                            <pic:blipFill>
                              <a:blip r:embed="rId77"/>
                              <a:stretch/>
                            </pic:blipFill>
                            <pic:spPr bwMode="auto">
                              <a:xfrm>
                                <a:off x="0" y="0"/>
                                <a:ext cx="651510" cy="5403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1.3pt;height:42.5pt;mso-wrap-distance-left:0.0pt;mso-wrap-distance-top:0.0pt;mso-wrap-distance-right:0.0pt;mso-wrap-distance-bottom:0.0pt;" stroked="f" strokeweight="0.75pt">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4"/>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基材：采用优质E0级多层板,优质绿色环保产品,符合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2、封边：采用优质PVC树脂封边条同色封边，符合QB/T4463-2013标准要求，甲醛释放量符合国家保准，可溶性铅、可溶性铬、可溶性镉、可溶性汞、可溶性硒均为未检出，封边严密、平整、无脱胶、表面无胶渍；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3、钢架：采用优质1.5mm厚冷轧钢管，喷涂前使用优质环保磷化液前处理，钢制部件整体使用优质环保塑粉静电喷涂，高温固化，确保质量完美；</w:t>
            </w:r>
            <w:r/>
          </w:p>
          <w:p>
            <w:pPr>
              <w:numPr>
                <w:ilvl w:val="0"/>
                <w:numId w:val="0"/>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lang w:val="en-US" w:eastAsia="zh-CN" w:bidi="ar"/>
              </w:rPr>
              <w:t xml:space="preserve">4</w:t>
            </w:r>
            <w:r>
              <w:rPr>
                <w:rFonts w:hint="eastAsia" w:ascii="宋体" w:hAnsi="宋体" w:eastAsia="宋体" w:cs="宋体"/>
                <w:b w:val="0"/>
                <w:bCs w:val="0"/>
                <w:i w:val="0"/>
                <w:iCs w:val="0"/>
                <w:color w:val="000000"/>
                <w:sz w:val="18"/>
                <w:szCs w:val="18"/>
                <w:highlight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t xml:space="preserve">台面采用25mm厚，桌面四角采用圆弧形设计；</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5</w:t>
            </w:r>
            <w:r>
              <w:rPr>
                <w:rFonts w:hint="eastAsia" w:ascii="宋体" w:hAnsi="宋体" w:eastAsia="宋体" w:cs="宋体"/>
                <w:b w:val="0"/>
                <w:bCs w:val="0"/>
                <w:i w:val="0"/>
                <w:iCs w:val="0"/>
                <w:color w:val="000000"/>
                <w:sz w:val="18"/>
                <w:szCs w:val="18"/>
                <w:highlight w:val="none"/>
                <w:u w:val="none"/>
                <w:lang w:val="en-US" w:eastAsia="zh-CN" w:bidi="ar"/>
              </w:rPr>
              <w:t xml:space="preserve">、底座带优质脚垫，桌腿滚轮方便移动、固定，防止噪音，避免刮伤地板，桌面可平放和折起来，有利于扩展空间，便于学生使用；</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6、桌下置物板尺寸：长925mm*宽200mm*高115mm，两侧及后侧高起，两侧铁片在原基础加厚；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美术桌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2780" cy="348615"/>
                      <wp:effectExtent l="0" t="0" r="13970" b="13335"/>
                      <wp:docPr id="68"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7" descr="IMG_322"/>
                              <pic:cNvPicPr>
                                <a:picLocks noChangeAspect="1"/>
                              </pic:cNvPicPr>
                              <pic:nvPr/>
                            </pic:nvPicPr>
                            <pic:blipFill>
                              <a:blip r:embed="rId78"/>
                              <a:stretch/>
                            </pic:blipFill>
                            <pic:spPr bwMode="auto">
                              <a:xfrm>
                                <a:off x="0" y="0"/>
                                <a:ext cx="652780" cy="3486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1.4pt;height:27.4pt;mso-wrap-distance-left:0.0pt;mso-wrap-distance-top:0.0pt;mso-wrap-distance-right:0.0pt;mso-wrap-distance-bottom:0.0pt;" stroked="f" strokeweight="0.75pt">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900*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4、产品的材质、结构安全等符合GB/T35607-2017《绿色产品评价家具》等标准要求。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7、下置物板材：基材：采用优质三聚氰胺多层板,优质绿色环保产品,符合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美术收纳柜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33400" cy="485140"/>
                      <wp:effectExtent l="0" t="0" r="0" b="10160"/>
                      <wp:docPr id="69"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68" descr="IMG_323"/>
                              <pic:cNvPicPr>
                                <a:picLocks noChangeAspect="1"/>
                              </pic:cNvPicPr>
                              <pic:nvPr/>
                            </pic:nvPicPr>
                            <pic:blipFill>
                              <a:blip r:embed="rId79"/>
                              <a:stretch/>
                            </pic:blipFill>
                            <pic:spPr bwMode="auto">
                              <a:xfrm>
                                <a:off x="0" y="0"/>
                                <a:ext cx="533400" cy="485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2.0pt;height:38.2pt;mso-wrap-distance-left:0.0pt;mso-wrap-distance-top:0.0pt;mso-wrap-distance-right:0.0pt;mso-wrap-distance-bottom:0.0pt;" stroked="f" strokeweight="0.75pt">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1、采用25MM及16MME0级</w:t>
            </w:r>
            <w:r>
              <w:rPr>
                <w:rFonts w:hint="eastAsia" w:ascii="宋体" w:hAnsi="宋体" w:cs="宋体"/>
                <w:b w:val="0"/>
                <w:bCs w:val="0"/>
                <w:i w:val="0"/>
                <w:iCs w:val="0"/>
                <w:color w:val="000000"/>
                <w:sz w:val="18"/>
                <w:szCs w:val="18"/>
                <w:highlight w:val="none"/>
                <w:u w:val="none"/>
                <w:lang w:val="en-US" w:eastAsia="zh-CN" w:bidi="ar"/>
              </w:rPr>
              <w:t xml:space="preserve">阻燃双饰面刨花板</w:t>
            </w:r>
            <w:r>
              <w:rPr>
                <w:rFonts w:hint="eastAsia" w:ascii="宋体" w:hAnsi="宋体" w:eastAsia="宋体" w:cs="宋体"/>
                <w:b w:val="0"/>
                <w:bCs w:val="0"/>
                <w:i w:val="0"/>
                <w:iCs w:val="0"/>
                <w:color w:val="000000"/>
                <w:sz w:val="18"/>
                <w:szCs w:val="18"/>
                <w:highlight w:val="none"/>
                <w:u w:val="none"/>
                <w:lang w:val="en-US" w:eastAsia="zh-CN" w:bidi="ar"/>
              </w:rPr>
              <w:t xml:space="preserve">，静曲强度、弹性模量、内结合强度、表面胶合强度均要求合格。甲醛释放量符合检测结果，TVOC（总挥发性有机化合物）含量符合国家标准。2、封边：采用同色PVC封边，无缝封边，具有良好的耐气候性能，不易受环境、温度变化而产生收缩、膨胀的问题。封边处无脱胶、鼓泡、透胶、露底。甲醛释放量符合检测结果。3、柜面：外表光洁，无污斑，无划痕、无光泽不均、无鼓泡、鼓包、厚度偏差±3mm，垂直度偏差≤2mm/m，边缘直度偏差≤1mm/m、平整度偏差≤1%，表面耐冷热循环、表面耐划痕、表面耐磨、表面耐香烟灼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4、五金件：中性盐雾试验耐腐蚀等级达到10级，功能：耐久性符合国家标准。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美术翻转桌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67690" cy="677545"/>
                      <wp:effectExtent l="0" t="0" r="3810" b="8255"/>
                      <wp:docPr id="70" name="图片 69" descr="IMG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69" descr="IMG_324"/>
                              <pic:cNvPicPr>
                                <a:picLocks noChangeAspect="1"/>
                              </pic:cNvPicPr>
                              <pic:nvPr/>
                            </pic:nvPicPr>
                            <pic:blipFill>
                              <a:blip r:embed="rId80"/>
                              <a:stretch/>
                            </pic:blipFill>
                            <pic:spPr bwMode="auto">
                              <a:xfrm>
                                <a:off x="0" y="0"/>
                                <a:ext cx="567690" cy="6775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4.7pt;height:53.3pt;mso-wrap-distance-left:0.0pt;mso-wrap-distance-top:0.0pt;mso-wrap-distance-right:0.0pt;mso-wrap-distance-bottom:0.0pt;" stroked="f" strokeweight="0.75pt">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700*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500*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板:绿色环保E0级三聚氰胺饰面板，双面贴三聚氰胺纸，模具注塑封边、永不脱落抗冲压性能良好具防刮、防污染、防损等功能特点，面板厚度18mm;2、结构:钢脚开模定型框架自动焊接技术产品符合国家标准;工艺精细钢材厚度在1.2mm以上结构稳定采用静电粉末涂装工艺附着强力经久耐用;桌脚脚垫带微调功能适合不平整的地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3、桌面根据用户所需自由调节高度和斜度。</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多功能储物柜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53110" cy="342265"/>
                      <wp:effectExtent l="0" t="0" r="8890" b="635"/>
                      <wp:docPr id="71"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70" descr="IMG_325"/>
                              <pic:cNvPicPr>
                                <a:picLocks noChangeAspect="1"/>
                              </pic:cNvPicPr>
                              <pic:nvPr/>
                            </pic:nvPicPr>
                            <pic:blipFill>
                              <a:blip r:embed="rId81"/>
                              <a:stretch/>
                            </pic:blipFill>
                            <pic:spPr bwMode="auto">
                              <a:xfrm>
                                <a:off x="0" y="0"/>
                                <a:ext cx="753110" cy="3422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9.3pt;height:26.9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5000*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5"/>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采用25MM及16MME0级</w:t>
            </w:r>
            <w:r>
              <w:rPr>
                <w:rFonts w:hint="eastAsia" w:ascii="宋体" w:hAnsi="宋体" w:cs="宋体"/>
                <w:b w:val="0"/>
                <w:bCs w:val="0"/>
                <w:i w:val="0"/>
                <w:iCs w:val="0"/>
                <w:color w:val="000000"/>
                <w:sz w:val="18"/>
                <w:szCs w:val="18"/>
                <w:highlight w:val="none"/>
                <w:u w:val="none"/>
                <w:lang w:val="en-US" w:eastAsia="zh-CN" w:bidi="ar"/>
              </w:rPr>
              <w:t xml:space="preserve">阻燃双饰面刨花板</w:t>
            </w:r>
            <w:r>
              <w:rPr>
                <w:rFonts w:hint="eastAsia" w:ascii="宋体" w:hAnsi="宋体" w:eastAsia="宋体" w:cs="宋体"/>
                <w:b w:val="0"/>
                <w:bCs w:val="0"/>
                <w:i w:val="0"/>
                <w:iCs w:val="0"/>
                <w:color w:val="000000"/>
                <w:sz w:val="18"/>
                <w:szCs w:val="18"/>
                <w:highlight w:val="none"/>
                <w:u w:val="none"/>
                <w:lang w:val="en-US" w:eastAsia="zh-CN" w:bidi="ar"/>
              </w:rPr>
              <w:t xml:space="preserve">，静曲强度、弹性模量、内结合强度、表面胶合强度均要求合格。甲醛释放量符合检测结果，TVOC（总挥发性有机化合物）含量符合国家标准。</w:t>
            </w:r>
            <w:r/>
          </w:p>
          <w:p>
            <w:pPr>
              <w:numPr>
                <w:ilvl w:val="0"/>
                <w:numId w:val="15"/>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封边：采用同色PVC封边，无缝封边，具有良好的耐气候性能，不易受环境、温度变化而产生收缩、膨胀的问题。封边处无脱胶、鼓泡、透胶、露底。甲醛释放量符合检测结果。</w:t>
            </w:r>
            <w:r/>
          </w:p>
          <w:p>
            <w:pPr>
              <w:numPr>
                <w:ilvl w:val="0"/>
                <w:numId w:val="15"/>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柜面：外表光洁，无污斑，无划痕、无光泽不均、无鼓泡、鼓包、厚度偏差±3mm，垂直度偏差≤2mm/m，边缘直度偏差≤1mm/m、平整度偏差≤1%，表面耐冷热循环、表面耐划痕、表面耐磨、表面耐香烟灼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4、铰链：中性盐雾试验耐腐蚀等级达到10级，操作力、功能：垂直静载荷、水平静载荷、耐久性、下沉量符合国家标准。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5、拉手：边缘圆滑，贴合手指着力点，轻松拉合，无需费力。外表光洁，无污渍，无划痕，无明显色差。耐老化性：外观颜色变色评级达到4级，重金属(可溶性铅、可溶性镉、可溶性鉻、可溶性汞）均≤5mg/kg。</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6、锁具电镀件外露表面应色泽均匀，电镀层无剥落，无反锈，无起泡，无裂纹，无花斑。电镀件耐腐蚀（经过100h的中性盐雾试验后）外观评级达到10级。电镀件耐腐蚀符合国家标准。</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7、每套配四组钢制洞洞板，便于储物，尺寸分别为1915*480*20两组,590*995*20两组（或根据实际定制）。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both"/>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46125" cy="525780"/>
                      <wp:effectExtent l="0" t="0" r="15875" b="7620"/>
                      <wp:docPr id="72"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1" descr="IMG_326"/>
                              <pic:cNvPicPr>
                                <a:picLocks noChangeAspect="1"/>
                              </pic:cNvPicPr>
                              <pic:nvPr/>
                            </pic:nvPicPr>
                            <pic:blipFill>
                              <a:blip r:embed="rId82"/>
                              <a:stretch/>
                            </pic:blipFill>
                            <pic:spPr bwMode="auto">
                              <a:xfrm>
                                <a:off x="0" y="0"/>
                                <a:ext cx="746125" cy="5257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8.8pt;height:41.4pt;mso-wrap-distance-left:0.0pt;mso-wrap-distance-top:0.0pt;mso-wrap-distance-right:0.0pt;mso-wrap-distance-bottom:0.0pt;" stroked="f" strokeweight="0.75pt">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长1400*宽700*高750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2、基材：采用优质E0级三聚氰胺板,优质绿色环保产品,甲醛释放量，总挥发物有机化合物（TVOC）符合国家标准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符合国家标准。5、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序号71和72为一套，最高限价2600元/套(桌+椅)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40690" cy="530860"/>
                      <wp:effectExtent l="0" t="0" r="16510" b="2540"/>
                      <wp:docPr id="73"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72" descr="IMG_327"/>
                              <pic:cNvPicPr>
                                <a:picLocks noChangeAspect="1"/>
                              </pic:cNvPicPr>
                              <pic:nvPr/>
                            </pic:nvPicPr>
                            <pic:blipFill>
                              <a:blip r:embed="rId83"/>
                              <a:stretch/>
                            </pic:blipFill>
                            <pic:spPr bwMode="auto">
                              <a:xfrm>
                                <a:off x="0" y="0"/>
                                <a:ext cx="440690" cy="5308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34.7pt;height:41.8pt;mso-wrap-distance-left:0.0pt;mso-wrap-distance-top:0.0pt;mso-wrap-distance-right:0.0pt;mso-wrap-distance-bottom:0.0pt;" stroked="f" strokeweight="0.75pt">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劳动桌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0400" cy="495300"/>
                      <wp:effectExtent l="0" t="0" r="6350" b="0"/>
                      <wp:docPr id="74"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3" descr="IMG_328"/>
                              <pic:cNvPicPr>
                                <a:picLocks noChangeAspect="1"/>
                              </pic:cNvPicPr>
                              <pic:nvPr/>
                            </pic:nvPicPr>
                            <pic:blipFill>
                              <a:blip r:embed="rId84"/>
                              <a:stretch/>
                            </pic:blipFill>
                            <pic:spPr bwMode="auto">
                              <a:xfrm>
                                <a:off x="0" y="0"/>
                                <a:ext cx="660400" cy="495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52.0pt;height:39.0pt;mso-wrap-distance-left:0.0pt;mso-wrap-distance-top:0.0pt;mso-wrap-distance-right:0.0pt;mso-wrap-distance-bottom:0.0pt;" stroked="f" strokeweight="0.75pt">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1520*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1520*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1、基材：采用优质榉木实木，甲醛释放量符合GB/T17657-2022《人造板及饰面人造板理化性能试验方法》、GB/T39600-2021《人造板及其制品甲醛释放量分级》标准要求。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4、产品的材质、结构安全等符合GB/T35607-2017《绿色产品评价家具》等标准要求。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广播台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26745" cy="263525"/>
                      <wp:effectExtent l="0" t="0" r="1905" b="3175"/>
                      <wp:docPr id="75"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75" descr="IMG_330"/>
                              <pic:cNvPicPr>
                                <a:picLocks noChangeAspect="1"/>
                              </pic:cNvPicPr>
                              <pic:nvPr/>
                            </pic:nvPicPr>
                            <pic:blipFill>
                              <a:blip r:embed="rId85"/>
                              <a:stretch/>
                            </pic:blipFill>
                            <pic:spPr bwMode="auto">
                              <a:xfrm>
                                <a:off x="0" y="0"/>
                                <a:ext cx="626745" cy="263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9.3pt;height:20.8pt;mso-wrap-distance-left:0.0pt;mso-wrap-distance-top:0.0pt;mso-wrap-distance-right:0.0pt;mso-wrap-distance-bottom:0.0pt;" stroked="f" strokeweight="0.75pt">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800*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1、基材：采用高密度纤维版，符</w:t>
            </w:r>
            <w:r>
              <w:rPr>
                <w:rFonts w:hint="eastAsia" w:ascii="宋体" w:hAnsi="宋体" w:cs="宋体"/>
                <w:b w:val="0"/>
                <w:bCs w:val="0"/>
                <w:i w:val="0"/>
                <w:iCs w:val="0"/>
                <w:color w:val="000000"/>
                <w:sz w:val="18"/>
                <w:szCs w:val="18"/>
                <w:highlight w:val="none"/>
                <w:u w:val="none"/>
                <w:lang w:val="en-US" w:eastAsia="zh-CN" w:bidi="ar"/>
              </w:rPr>
              <w:t xml:space="preserve">合</w:t>
            </w:r>
            <w:r>
              <w:rPr>
                <w:rFonts w:hint="eastAsia" w:ascii="宋体" w:hAnsi="宋体" w:eastAsia="宋体" w:cs="宋体"/>
                <w:b w:val="0"/>
                <w:bCs w:val="0"/>
                <w:i w:val="0"/>
                <w:iCs w:val="0"/>
                <w:color w:val="000000"/>
                <w:sz w:val="18"/>
                <w:szCs w:val="18"/>
                <w:highlight w:val="none"/>
                <w:u w:val="none"/>
                <w:lang w:val="en-US" w:eastAsia="zh-CN" w:bidi="ar"/>
              </w:rPr>
              <w:t xml:space="preserve">HJ571-2010《环境标志产品认证技术要求人造板及其制品》；</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2、水性组合漆：符合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；采用水性面漆VOC含量≤90g/L；苯系物含量未检出；可溶性重金属≤2mg/kg；甲醛含量≤40mg/kg。3、五金件：中性盐雾试验耐腐蚀等级达到10级，耐久性符合国家标准。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广播椅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40690" cy="631190"/>
                      <wp:effectExtent l="0" t="0" r="16510" b="16510"/>
                      <wp:docPr id="76"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74" descr="IMG_329"/>
                              <pic:cNvPicPr>
                                <a:picLocks noChangeAspect="1"/>
                              </pic:cNvPicPr>
                              <pic:nvPr/>
                            </pic:nvPicPr>
                            <pic:blipFill>
                              <a:blip r:embed="rId86"/>
                              <a:stretch/>
                            </pic:blipFill>
                            <pic:spPr bwMode="auto">
                              <a:xfrm>
                                <a:off x="0" y="0"/>
                                <a:ext cx="440690" cy="6311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34.7pt;height:49.7pt;mso-wrap-distance-left:0.0pt;mso-wrap-distance-top:0.0pt;mso-wrap-distance-right:0.0pt;mso-wrap-distance-bottom:0.0pt;" stroked="f" strokeweight="0.75pt">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长480*宽540*高850（座高450）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1、椅架：优质榉木椅脚，较高的光泽度，质地细密，不易吸水，耐腐蚀，强度大，稳定性强，断裂强度高、抗震能力特别强，结实耐用，使用年限长。表面清漆处理，符合国家环保标准。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2、椅背：全新PP+玻纤，座背一体成型，背部孔洞造型设计，外观简约，通过材料性质实现靠背倾仰，舒缓背部压力，表面晒纹处理，质感好3、脚塞：防滑塑料胶塞，保护地板不受伤害，移动时减少噪音</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异形条桌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734060"/>
                      <wp:effectExtent l="0" t="0" r="0" b="8890"/>
                      <wp:docPr id="77"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76" descr="IMG_331"/>
                              <pic:cNvPicPr>
                                <a:picLocks noChangeAspect="1"/>
                              </pic:cNvPicPr>
                              <pic:nvPr/>
                            </pic:nvPicPr>
                            <pic:blipFill>
                              <a:blip r:embed="rId87"/>
                              <a:stretch/>
                            </pic:blipFill>
                            <pic:spPr bwMode="auto">
                              <a:xfrm>
                                <a:off x="0" y="0"/>
                                <a:ext cx="609600" cy="734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8.0pt;height:57.8pt;mso-wrap-distance-left:0.0pt;mso-wrap-distance-top:0.0pt;mso-wrap-distance-right:0.0pt;mso-wrap-distance-bottom:0.0pt;" stroked="f" strokeweight="0.75pt">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1178*</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573*</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5、钢架：采用优质1.5mm厚冷轧钢管，喷涂前使用优质环保磷化液前处理，钢制部件整体使用优质环保塑粉静电喷涂，高温固化，确保质量完美；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84200" cy="816610"/>
                      <wp:effectExtent l="0" t="0" r="6350" b="2540"/>
                      <wp:docPr id="78"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7" descr="IMG_332"/>
                              <pic:cNvPicPr>
                                <a:picLocks noChangeAspect="1"/>
                              </pic:cNvPicPr>
                              <pic:nvPr/>
                            </pic:nvPicPr>
                            <pic:blipFill>
                              <a:blip r:embed="rId56"/>
                              <a:stretch/>
                            </pic:blipFill>
                            <pic:spPr bwMode="auto">
                              <a:xfrm>
                                <a:off x="0" y="0"/>
                                <a:ext cx="584200" cy="8166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6.0pt;height:64.3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长395*宽390*高（360-460）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A、靠背</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2、尺寸：宽410mm×高340mm×侧深25mm。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3、功能：中间凹进0.5mm为四条透气孔，透气孔尺寸分别为40mm、70mm、105mm、140mm；靠背两边根据人类功效学设计各有三条斜通气长条，通气孔尺寸各为120mm、130mm、140mm；靠背采用插入式设计，可直接插入钢管；</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B、坐垫</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1、材质：采PP原料粒子一体注塑成型。不得采用回收料生产。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2、尺寸：宽395mm×深390mm×侧厚56mm。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垫前端有往下145°且长40mm的C型斜坡，可使坐下时腿部能服贴座垫，进而达到长时间乘坐不压迫，坐垫前段不允许为波浪形；座垫中间有一内陷处可使坐下时臀部能服贴座垫，进而达到长时间乘坐臀部不劳累。两边的通气长条尺寸为122mm×6mm,槽缝设计需通气散热细缝，每条细缝宽度不得超过6mm。坐垫两侧及后部有一圈由两根线条组成的凸条，用于增加坐垫舒适度。</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C、椅钢架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1、材质及形状：采椭圆形亮光钢管组合焊接而成，结构得需牢固，长时间使用不得产生摇晃、松散的现象。焊接完成之钢管架，焊接部位得需牢固，需无脱焊、虚焊、焊穿。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椅座贴地承重钢管尺寸为30mm×60mm×厚1.5mm；椅子横型钢管尺寸为25mm×50mm×厚1.2mm；椅脚承重钢管上部立管钢管尺寸为30mm×70mm×厚1.2mm；坐垫下活动立管钢管尺寸为20mm×60mm×厚1.2mm；坐垫钢管尺寸为16.5mm×34mm×厚1.3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涂装：焊接完成之钢管架，表面经酸洗、脱脂、磷化处理，耐腐蚀、防锈。外表采一级静电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D、升降功能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采用手摇升降功能，椅架为手摇升降结构，钢脚两侧需带有激光设备刻上的升降课桌调节尺寸数字，在椅腿和椅子支撑架内设有高低调节装置包括设在两条椅腿内的螺杆、带内螺纹的方管、轴承、伞型齿轮、传动轴、杆套、摇柄及连接两传动轴的六角型升降合金铝杆；两头升降器用六角形配件连接，连接杆穿在</w:t>
            </w:r>
            <w:r>
              <w:rPr>
                <w:rFonts w:hint="eastAsia" w:ascii="宋体" w:hAnsi="宋体" w:cs="宋体"/>
                <w:b w:val="0"/>
                <w:bCs w:val="0"/>
                <w:i w:val="0"/>
                <w:iCs w:val="0"/>
                <w:color w:val="000000"/>
                <w:sz w:val="18"/>
                <w:szCs w:val="18"/>
                <w:highlight w:val="none"/>
                <w:u w:val="none"/>
                <w:lang w:val="en-US" w:eastAsia="zh-CN" w:bidi="ar"/>
              </w:rPr>
              <w:t xml:space="preserve">25mm×50mm</w:t>
            </w:r>
            <w:r>
              <w:rPr>
                <w:rFonts w:hint="eastAsia" w:ascii="宋体" w:hAnsi="宋体" w:eastAsia="宋体" w:cs="宋体"/>
                <w:b w:val="0"/>
                <w:bCs w:val="0"/>
                <w:i w:val="0"/>
                <w:iCs w:val="0"/>
                <w:color w:val="000000"/>
                <w:sz w:val="18"/>
                <w:szCs w:val="18"/>
                <w:highlight w:val="none"/>
                <w:u w:val="none"/>
                <w:lang w:val="en-US" w:eastAsia="zh-CN" w:bidi="ar"/>
              </w:rPr>
              <w:t xml:space="preserve">的椅脚横型钢管内；升降范围360mm-460mm，可以在几秒钟之内完成和桌子的最合适高度。课椅腿之间装有PP原料一次成型的中间套，确保上下升降调节灵活。（为呵护学生的安全，椅子手摇组件必须置于椅子腿件管内，不可有外露部分，离地面85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2、升降刻度要求：采用激光镭射工艺。确保标记图文清晰度高，并达到永久性标记，不淡化、不模糊、不脱落、不变形。</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3、功能与工艺要求：课椅可调节的钢制脚架需清晰标记刻度尺，便于高度调整定位准确、快速。调整刻度从360mm～460mm共10个小层次，小层次间隔10mm，数字代表桌面离地高度,调节桌高可从360mm至460mm。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4、功能：手摇柄插入孔内顺时针旋转椅面上升，逆时针旋转椅面下降，调整便捷顺畅。</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E、脚套</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1、材质：采PP原料粒子一体注塑成型。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2、尺寸：75mm×65mm×40mm×厚8mm。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团辅活动桌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1980" cy="499110"/>
                      <wp:effectExtent l="0" t="0" r="7620" b="15240"/>
                      <wp:docPr id="79"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8" descr="IMG_333"/>
                              <pic:cNvPicPr>
                                <a:picLocks noChangeAspect="1"/>
                              </pic:cNvPicPr>
                              <pic:nvPr/>
                            </pic:nvPicPr>
                            <pic:blipFill>
                              <a:blip r:embed="rId88"/>
                              <a:stretch/>
                            </pic:blipFill>
                            <pic:spPr bwMode="auto">
                              <a:xfrm>
                                <a:off x="0" y="0"/>
                                <a:ext cx="601980" cy="4991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7.4pt;height:39.3pt;mso-wrap-distance-left:0.0pt;mso-wrap-distance-top:0.0pt;mso-wrap-distance-right:0.0pt;mso-wrap-distance-bottom:0.0pt;" stroked="f" strokeweight="0.75pt">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6"/>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基材：采用优质E0级多层板,优质绿色环保产品,符合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2、封边：采用优质PVC树脂封边条同色封边，符合QB/T4463-2013标准要求，甲醛释放量符合国家保准，可溶性铅、可溶性铬、可溶性镉、可溶性汞、可溶性硒均为未检出，封边严密、平整、无脱胶、表面无胶渍；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3、钢架：采用优质1.5mm厚冷轧钢管，喷涂前使用优质环保磷化液前处理，钢制部件整体使用优质环保塑粉静电喷涂，高温固化，确保质量完美；</w:t>
            </w:r>
            <w:r/>
          </w:p>
          <w:p>
            <w:pPr>
              <w:numPr>
                <w:ilvl w:val="0"/>
                <w:numId w:val="15"/>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台面采用25mm厚，桌面四角采用圆弧形设计；</w:t>
            </w:r>
            <w:r/>
          </w:p>
          <w:p>
            <w:pPr>
              <w:numPr>
                <w:ilvl w:val="0"/>
                <w:numId w:val="15"/>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底座带优质脚垫，固定，防止噪音，避免刮伤地板，桌面可平放和折起来，有利于扩展空间，便于学生使用；</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6、桌下置物板尺寸：长925mm*宽200mm*高115mm，两侧及后侧高起，两侧铁片在原基础加厚；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旗杆架</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0700" cy="489585"/>
                      <wp:effectExtent l="0" t="0" r="12700" b="5715"/>
                      <wp:docPr id="80"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79" descr="IMG_334"/>
                              <pic:cNvPicPr>
                                <a:picLocks noChangeAspect="1"/>
                              </pic:cNvPicPr>
                              <pic:nvPr/>
                            </pic:nvPicPr>
                            <pic:blipFill>
                              <a:blip r:embed="rId89"/>
                              <a:stretch/>
                            </pic:blipFill>
                            <pic:spPr bwMode="auto">
                              <a:xfrm>
                                <a:off x="0" y="0"/>
                                <a:ext cx="520700" cy="4895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1.0pt;height:38.5pt;mso-wrap-distance-left:0.0pt;mso-wrap-distance-top:0.0pt;mso-wrap-distance-right:0.0pt;mso-wrap-distance-bottom:0.0pt;" stroked="f" strokeweight="0.75pt">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1450*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旗杆</w:t>
            </w:r>
            <w:r>
              <w:rPr>
                <w:rFonts w:hint="eastAsia" w:ascii="宋体" w:hAnsi="宋体" w:cs="宋体"/>
                <w:b w:val="0"/>
                <w:bCs w:val="0"/>
                <w:i w:val="0"/>
                <w:iCs w:val="0"/>
                <w:color w:val="000000"/>
                <w:sz w:val="18"/>
                <w:szCs w:val="18"/>
                <w:highlight w:val="none"/>
                <w:u w:val="none"/>
                <w:lang w:val="en-US" w:eastAsia="zh-CN" w:bidi="ar"/>
              </w:rPr>
              <w:t xml:space="preserve">直径</w:t>
            </w:r>
            <w:r>
              <w:rPr>
                <w:rFonts w:hint="eastAsia" w:ascii="宋体" w:hAnsi="宋体" w:eastAsia="宋体" w:cs="宋体"/>
                <w:b w:val="0"/>
                <w:bCs w:val="0"/>
                <w:i w:val="0"/>
                <w:iCs w:val="0"/>
                <w:color w:val="000000"/>
                <w:sz w:val="18"/>
                <w:szCs w:val="18"/>
                <w:highlight w:val="none"/>
                <w:u w:val="none"/>
                <w:lang w:val="en-US" w:eastAsia="zh-CN" w:bidi="ar"/>
              </w:rPr>
              <w:t xml:space="preserve">25*</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7"/>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材质：阻燃304不锈钢，裸管厚度1.5mm；</w:t>
            </w:r>
            <w:r/>
          </w:p>
          <w:p>
            <w:pPr>
              <w:numPr>
                <w:ilvl w:val="0"/>
                <w:numId w:val="17"/>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工艺：旗杆架采用不锈钢管材焊接而成，表面经抛光工艺制作，长时间使用也不会产生表面锈蚀现象；</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3、配六根旗杆；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少先队室柜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68325" cy="568325"/>
                      <wp:effectExtent l="0" t="0" r="3175" b="3175"/>
                      <wp:docPr id="81"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80" descr="IMG_335"/>
                              <pic:cNvPicPr>
                                <a:picLocks noChangeAspect="1"/>
                              </pic:cNvPicPr>
                              <pic:nvPr/>
                            </pic:nvPicPr>
                            <pic:blipFill>
                              <a:blip r:embed="rId90"/>
                              <a:stretch/>
                            </pic:blipFill>
                            <pic:spPr bwMode="auto">
                              <a:xfrm>
                                <a:off x="0" y="0"/>
                                <a:ext cx="568325" cy="568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4.8pt;height:44.8pt;mso-wrap-distance-left:0.0pt;mso-wrap-distance-top:0.0pt;mso-wrap-distance-right:0.0pt;mso-wrap-distance-bottom:0.0pt;" stroked="f" strokeweight="0.75pt">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6000*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500*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8"/>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基材：采用25MM及16MM优质环保刨花板，甲醛释放量达到E0级标准。2、封边:采用优质环保封边，25MM厚不低于2MM厚，16MM厚不低于1MM厚，耐磨，耐开裂，耐冷热循环，标准符合QB/T4463-2013《家具用封边条技术要求》，高密封性不吸水、不膨胀。</w:t>
            </w:r>
            <w:r/>
          </w:p>
          <w:p>
            <w:pPr>
              <w:numPr>
                <w:ilvl w:val="0"/>
                <w:numId w:val="18"/>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面材：使用优质优质三聚氰胺浸渍胶膜纸。</w:t>
            </w:r>
            <w:r/>
          </w:p>
          <w:p>
            <w:pPr>
              <w:numPr>
                <w:ilvl w:val="0"/>
                <w:numId w:val="18"/>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五金件:采用优质锁具，所有五金配件做防锈、防腐处理。</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5.功能：上方为开放式储物格，下方为封闭式储物格，可放置各种教材器具，取用方便，不显凌乱。</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276225"/>
                      <wp:effectExtent l="0" t="0" r="0" b="9525"/>
                      <wp:docPr id="82"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1" descr="IMG_336"/>
                              <pic:cNvPicPr>
                                <a:picLocks noChangeAspect="1"/>
                              </pic:cNvPicPr>
                              <pic:nvPr/>
                            </pic:nvPicPr>
                            <pic:blipFill>
                              <a:blip r:embed="rId91"/>
                              <a:stretch/>
                            </pic:blipFill>
                            <pic:spPr bwMode="auto">
                              <a:xfrm>
                                <a:off x="0" y="0"/>
                                <a:ext cx="838200" cy="276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66.0pt;height:21.8pt;mso-wrap-distance-left:0.0pt;mso-wrap-distance-top:0.0pt;mso-wrap-distance-right:0.0pt;mso-wrap-distance-bottom:0.0pt;" stroked="f" strokeweight="0.75pt">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5000*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1700*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5、五金件：电镀件外露表面应色泽均匀，电镀层无剥落，无反锈，无起泡，无裂纹，无花斑。电镀件耐腐蚀（经过100h的中性盐雾试验后）外观评级达到10级。电镀件耐腐蚀符合国家标准。6、台面厚度48mm。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8655" cy="714375"/>
                      <wp:effectExtent l="0" t="0" r="17145" b="9525"/>
                      <wp:docPr id="83"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2" descr="IMG_337"/>
                              <pic:cNvPicPr>
                                <a:picLocks noChangeAspect="1"/>
                              </pic:cNvPicPr>
                              <pic:nvPr/>
                            </pic:nvPicPr>
                            <pic:blipFill>
                              <a:blip r:embed="rId92"/>
                              <a:stretch/>
                            </pic:blipFill>
                            <pic:spPr bwMode="auto">
                              <a:xfrm>
                                <a:off x="0" y="0"/>
                                <a:ext cx="668655" cy="714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2.6pt;height:56.2pt;mso-wrap-distance-left:0.0pt;mso-wrap-distance-top:0.0pt;mso-wrap-distance-right:0.0pt;mso-wrap-distance-bottom:0.0pt;" stroked="f" strokeweight="0.75pt">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585*</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695*</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1070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1、覆面：采用优质阻燃超纤皮饰面，符合</w:t>
            </w:r>
            <w:r>
              <w:rPr>
                <w:rFonts w:hint="eastAsia" w:ascii="宋体" w:hAnsi="宋体" w:cs="宋体"/>
                <w:b w:val="0"/>
                <w:bCs w:val="0"/>
                <w:i w:val="0"/>
                <w:iCs w:val="0"/>
                <w:color w:val="000000"/>
                <w:sz w:val="18"/>
                <w:szCs w:val="18"/>
                <w:highlight w:val="none"/>
                <w:u w:val="none"/>
                <w:lang w:val="en-US" w:eastAsia="zh-CN" w:bidi="ar"/>
              </w:rPr>
              <w:t xml:space="preserve">国家</w:t>
            </w:r>
            <w:r>
              <w:rPr>
                <w:rFonts w:hint="eastAsia" w:ascii="宋体" w:hAnsi="宋体" w:eastAsia="宋体" w:cs="宋体"/>
                <w:b w:val="0"/>
                <w:bCs w:val="0"/>
                <w:i w:val="0"/>
                <w:iCs w:val="0"/>
                <w:color w:val="000000"/>
                <w:sz w:val="18"/>
                <w:szCs w:val="18"/>
                <w:highlight w:val="none"/>
                <w:u w:val="none"/>
                <w:lang w:val="en-US" w:eastAsia="zh-CN" w:bidi="ar"/>
              </w:rPr>
              <w:t xml:space="preserve">标准，摩擦色牢度≥4级；游离甲醛未检出VOC≤15mg/kg；禁用偶氮染料未检出，可萃取的重金属≤1mg/kg;经液态浸色及防潮、防污等工艺处理,皮面更加柔软舒适,光泽持久性。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符合GB/T10802-2006《通用软质聚醚型聚氨脂泡沫塑料》、GB/T6343-2009《泡沫塑料及橡胶表现密度的测定》，其海绵颜色均匀、无大于6mm对穿孔、无污染、无刺激性气味，密度≥60kg/m³，压膜量达到国家现行检测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3、成型胶合板：成型胶合板，含水率，浸渍剥离性能每一边剥离长度累计≤25mm，抗压性能无破损，断裂，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不脱胶，无异常声响，甲醛释放量，均符合国家标准。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4、支撑架：2.0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厚不锈钢支架。</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9290" cy="464185"/>
                      <wp:effectExtent l="0" t="0" r="16510" b="12065"/>
                      <wp:docPr id="84"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83" descr="IMG_338"/>
                              <pic:cNvPicPr>
                                <a:picLocks noChangeAspect="1"/>
                              </pic:cNvPicPr>
                              <pic:nvPr/>
                            </pic:nvPicPr>
                            <pic:blipFill>
                              <a:blip r:embed="rId93"/>
                              <a:stretch/>
                            </pic:blipFill>
                            <pic:spPr bwMode="auto">
                              <a:xfrm>
                                <a:off x="0" y="0"/>
                                <a:ext cx="669290" cy="4641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2.7pt;height:36.5pt;mso-wrap-distance-left:0.0pt;mso-wrap-distance-top:0.0pt;mso-wrap-distance-right:0.0pt;mso-wrap-distance-bottom:0.0pt;" stroked="f" strokeweight="0.75pt">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长1200*宽400*高800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w:t>
            </w:r>
            <w:r>
              <w:rPr>
                <w:rFonts w:hint="eastAsia" w:ascii="宋体" w:hAnsi="宋体" w:eastAsia="宋体" w:cs="宋体"/>
                <w:b w:val="0"/>
                <w:bCs w:val="0"/>
                <w:i w:val="0"/>
                <w:iCs w:val="0"/>
                <w:color w:val="000000"/>
                <w:sz w:val="18"/>
                <w:szCs w:val="18"/>
                <w:highlight w:val="none"/>
                <w:u w:val="none"/>
                <w:lang w:val="en-US" w:eastAsia="zh-CN" w:bidi="ar"/>
              </w:rPr>
              <w:t xml:space="preserve">高限价700元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398780" cy="480060"/>
                      <wp:effectExtent l="0" t="0" r="1270" b="15240"/>
                      <wp:docPr id="85" name="图片 8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84" descr="IMG_339"/>
                              <pic:cNvPicPr>
                                <a:picLocks noChangeAspect="1"/>
                              </pic:cNvPicPr>
                              <pic:nvPr/>
                            </pic:nvPicPr>
                            <pic:blipFill>
                              <a:blip r:embed="rId94"/>
                              <a:stretch/>
                            </pic:blipFill>
                            <pic:spPr bwMode="auto">
                              <a:xfrm>
                                <a:off x="0" y="0"/>
                                <a:ext cx="398780" cy="480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31.4pt;height:37.8pt;mso-wrap-distance-left:0.0pt;mso-wrap-distance-top:0.0pt;mso-wrap-distance-right:0.0pt;mso-wrap-distance-bottom:0.0pt;" stroked="f" strokeweight="0.75pt">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不锈钢操作台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76580" cy="537210"/>
                      <wp:effectExtent l="0" t="0" r="13970" b="15240"/>
                      <wp:docPr id="86"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5" descr="IMG_340"/>
                              <pic:cNvPicPr>
                                <a:picLocks noChangeAspect="1"/>
                              </pic:cNvPicPr>
                              <pic:nvPr/>
                            </pic:nvPicPr>
                            <pic:blipFill>
                              <a:blip r:embed="rId95"/>
                              <a:stretch/>
                            </pic:blipFill>
                            <pic:spPr bwMode="auto">
                              <a:xfrm>
                                <a:off x="0" y="0"/>
                                <a:ext cx="576580" cy="5372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5.4pt;height:42.3pt;mso-wrap-distance-left:0.0pt;mso-wrap-distance-top:0.0pt;mso-wrap-distance-right:0.0pt;mso-wrap-distance-bottom:0.0pt;" stroked="f" strokeweight="0.75pt">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19"/>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桌面采用25mm不锈钢台面，表面采用SUS</w:t>
            </w:r>
            <w:r>
              <w:rPr>
                <w:rFonts w:hint="eastAsia" w:ascii="宋体" w:hAnsi="宋体" w:cs="宋体"/>
                <w:b w:val="0"/>
                <w:bCs w:val="0"/>
                <w:i w:val="0"/>
                <w:iCs w:val="0"/>
                <w:color w:val="000000"/>
                <w:sz w:val="18"/>
                <w:szCs w:val="18"/>
                <w:highlight w:val="none"/>
                <w:u w:val="none"/>
                <w:lang w:val="en-US" w:eastAsia="zh-CN" w:bidi="ar"/>
              </w:rPr>
              <w:t xml:space="preserve">304</w:t>
            </w:r>
            <w:r>
              <w:rPr>
                <w:rFonts w:hint="eastAsia" w:ascii="宋体" w:hAnsi="宋体" w:eastAsia="宋体" w:cs="宋体"/>
                <w:b w:val="0"/>
                <w:bCs w:val="0"/>
                <w:i w:val="0"/>
                <w:iCs w:val="0"/>
                <w:color w:val="000000"/>
                <w:sz w:val="18"/>
                <w:szCs w:val="18"/>
                <w:highlight w:val="none"/>
                <w:u w:val="none"/>
                <w:lang w:val="en-US" w:eastAsia="zh-CN" w:bidi="ar"/>
              </w:rPr>
              <w:t xml:space="preserve">不锈钢板，厚度≥1.0mm，桌面4角进行打磨处理；内衬：采用环保实木多层板；甲醛释放量符合国家E0标准，经防潮、防虫、防腐处理，强度高、刚性好、抗变形，各种物理、化学性能指标均达到国家相关标准。面材标准：表面耐刮、耐磨、耐腐蚀、耐高温、不怕烟头烫，光泽度更好，耐污性更强、耐UV紫外线老化；</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2、主架采用直径60*1.5mm厚</w:t>
            </w:r>
            <w:r>
              <w:rPr>
                <w:rFonts w:hint="eastAsia" w:ascii="宋体" w:hAnsi="宋体" w:cs="宋体"/>
                <w:b w:val="0"/>
                <w:bCs w:val="0"/>
                <w:i w:val="0"/>
                <w:iCs w:val="0"/>
                <w:color w:val="000000"/>
                <w:sz w:val="18"/>
                <w:szCs w:val="18"/>
                <w:highlight w:val="none"/>
                <w:u w:val="none"/>
                <w:lang w:val="en-US" w:eastAsia="zh-CN" w:bidi="ar"/>
              </w:rPr>
              <w:t xml:space="preserve">304</w:t>
            </w:r>
            <w:r>
              <w:rPr>
                <w:rFonts w:hint="eastAsia" w:ascii="宋体" w:hAnsi="宋体" w:eastAsia="宋体" w:cs="宋体"/>
                <w:b w:val="0"/>
                <w:bCs w:val="0"/>
                <w:i w:val="0"/>
                <w:iCs w:val="0"/>
                <w:color w:val="000000"/>
                <w:sz w:val="18"/>
                <w:szCs w:val="18"/>
                <w:highlight w:val="none"/>
                <w:u w:val="none"/>
                <w:lang w:val="en-US" w:eastAsia="zh-CN" w:bidi="ar"/>
              </w:rPr>
              <w:t xml:space="preserve">不锈钢，连接档采用25*50*1.5mm厚316不锈钢。</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六边形电脑桌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42290" cy="419100"/>
                      <wp:effectExtent l="0" t="0" r="10160" b="0"/>
                      <wp:docPr id="87"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86" descr="IMG_341"/>
                              <pic:cNvPicPr>
                                <a:picLocks noChangeAspect="1"/>
                              </pic:cNvPicPr>
                              <pic:nvPr/>
                            </pic:nvPicPr>
                            <pic:blipFill>
                              <a:blip r:embed="rId96"/>
                              <a:stretch/>
                            </pic:blipFill>
                            <pic:spPr bwMode="auto">
                              <a:xfrm>
                                <a:off x="0" y="0"/>
                                <a:ext cx="542290" cy="419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2.7pt;height:33.0pt;mso-wrap-distance-left:0.0pt;mso-wrap-distance-top:0.0pt;mso-wrap-distance-right:0.0pt;mso-wrap-distance-bottom:0.0pt;" stroked="f" strokeweight="0.75pt">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直径1600*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5、脚架采用矩形钢管，壁厚1.5mm，钢架采用满焊焊接，经高温粉体烤漆，长时间使用也不会产生表面漆剥落现象；</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6</w:t>
            </w:r>
            <w:r>
              <w:rPr>
                <w:rFonts w:hint="eastAsia" w:ascii="宋体" w:hAnsi="宋体" w:eastAsia="宋体" w:cs="宋体"/>
                <w:b w:val="0"/>
                <w:bCs w:val="0"/>
                <w:i w:val="0"/>
                <w:iCs w:val="0"/>
                <w:color w:val="000000"/>
                <w:sz w:val="18"/>
                <w:szCs w:val="18"/>
                <w:highlight w:val="none"/>
                <w:u w:val="none"/>
                <w:lang w:val="en-US" w:eastAsia="zh-CN" w:bidi="ar"/>
              </w:rPr>
              <w:t xml:space="preserve">、功能：桌架配有接线槽，方便安装插座等。</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教师电脑桌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33400" cy="630555"/>
                      <wp:effectExtent l="0" t="0" r="0" b="17145"/>
                      <wp:docPr id="88"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87" descr="IMG_342"/>
                              <pic:cNvPicPr>
                                <a:picLocks noChangeAspect="1"/>
                              </pic:cNvPicPr>
                              <pic:nvPr/>
                            </pic:nvPicPr>
                            <pic:blipFill>
                              <a:blip r:embed="rId97"/>
                              <a:stretch/>
                            </pic:blipFill>
                            <pic:spPr bwMode="auto">
                              <a:xfrm>
                                <a:off x="0" y="0"/>
                                <a:ext cx="533400" cy="6305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42.0pt;height:49.6pt;mso-wrap-distance-left:0.0pt;mso-wrap-distance-top:0.0pt;mso-wrap-distance-right:0.0pt;mso-wrap-distance-bottom:0.0pt;" stroked="f" strokeweight="0.75pt">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1"/>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5、脚架采用矩形钢管，壁厚1.5mm，钢架采用满焊焊接，经高温粉体烤漆，长时间使用也不会产生表面漆剥落现象；</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6</w:t>
            </w:r>
            <w:r>
              <w:rPr>
                <w:rFonts w:hint="eastAsia" w:ascii="宋体" w:hAnsi="宋体" w:eastAsia="宋体" w:cs="宋体"/>
                <w:b w:val="0"/>
                <w:bCs w:val="0"/>
                <w:i w:val="0"/>
                <w:iCs w:val="0"/>
                <w:color w:val="000000"/>
                <w:sz w:val="18"/>
                <w:szCs w:val="18"/>
                <w:highlight w:val="none"/>
                <w:u w:val="none"/>
                <w:lang w:val="en-US" w:eastAsia="zh-CN" w:bidi="ar"/>
              </w:rPr>
              <w:t xml:space="preserve">、功能：桌架配有接线槽，方便安装插座等。</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教师电脑椅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74345" cy="598170"/>
                      <wp:effectExtent l="0" t="0" r="1905" b="11430"/>
                      <wp:docPr id="89"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8" descr="IMG_343"/>
                              <pic:cNvPicPr>
                                <a:picLocks noChangeAspect="1"/>
                              </pic:cNvPicPr>
                              <pic:nvPr/>
                            </pic:nvPicPr>
                            <pic:blipFill>
                              <a:blip r:embed="rId98"/>
                              <a:stretch/>
                            </pic:blipFill>
                            <pic:spPr bwMode="auto">
                              <a:xfrm>
                                <a:off x="0" y="0"/>
                                <a:ext cx="474345" cy="5981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37.4pt;height:47.1pt;mso-wrap-distance-left:0.0pt;mso-wrap-distance-top:0.0pt;mso-wrap-distance-right:0.0pt;mso-wrap-distance-bottom:0.0pt;" stroked="f" strokeweight="0.75pt">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长460*宽440*高870（坐高450）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1.实木弯曲木脚符合国家标准，甲醛释放量符合标准；覆面拼贴严密、平整、无脱胶、鼓泡，无裂纹、压痕和划伤；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2.靠背护腰曲线设计符合人体工学，全新PP材质一体成型，重金属，苯并芘，16种多环芳烃总量均符合国家标准。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3.尼龙脚塞，防滑耐磨</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双人电脑桌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26745" cy="605155"/>
                      <wp:effectExtent l="0" t="0" r="1905" b="4445"/>
                      <wp:docPr id="90" name="图片 89"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9" descr="IMG_344"/>
                              <pic:cNvPicPr>
                                <a:picLocks noChangeAspect="1"/>
                              </pic:cNvPicPr>
                              <pic:nvPr/>
                            </pic:nvPicPr>
                            <pic:blipFill>
                              <a:blip r:embed="rId99"/>
                              <a:stretch/>
                            </pic:blipFill>
                            <pic:spPr bwMode="auto">
                              <a:xfrm>
                                <a:off x="0" y="0"/>
                                <a:ext cx="626745" cy="6051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9.3pt;height:47.6pt;mso-wrap-distance-left:0.0pt;mso-wrap-distance-top:0.0pt;mso-wrap-distance-right:0.0pt;mso-wrap-distance-bottom:0.0pt;" stroked="f" strokeweight="0.75pt">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1400*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2"/>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5、脚架采用矩形钢管，壁厚1.5mm，钢架采用满焊焊接，经高温粉体烤漆，长时间使用也不会产生表面漆剥落现象；</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6、功能：桌架配有接线槽，方便安装插座等。</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翻转电脑桌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18490" cy="471170"/>
                      <wp:effectExtent l="0" t="0" r="10160" b="5080"/>
                      <wp:docPr id="91"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90" descr="IMG_345"/>
                              <pic:cNvPicPr>
                                <a:picLocks noChangeAspect="1"/>
                              </pic:cNvPicPr>
                              <pic:nvPr/>
                            </pic:nvPicPr>
                            <pic:blipFill>
                              <a:blip r:embed="rId100"/>
                              <a:stretch/>
                            </pic:blipFill>
                            <pic:spPr bwMode="auto">
                              <a:xfrm>
                                <a:off x="0" y="0"/>
                                <a:ext cx="618490" cy="4711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48.7pt;height:37.1pt;mso-wrap-distance-left:0.0pt;mso-wrap-distance-top:0.0pt;mso-wrap-distance-right:0.0pt;mso-wrap-distance-bottom:0.0pt;" stroked="f" strokeweight="0.75pt">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rPr>
                <w:rFonts w:hint="eastAsia" w:ascii="宋体" w:hAnsi="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t xml:space="preserve">桌面采用25毫米优质防火板，鸭嘴边（两侧材质为PVC封边），面材采用优质环保防火板饰面，甲醛释放达到国家E1级环保要求，桌面多款颜色可选。</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w:t>
            </w:r>
            <w:r>
              <w:rPr>
                <w:rFonts w:hint="eastAsia" w:ascii="宋体" w:hAnsi="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t xml:space="preserve">液晶屏翻转器说明：翻转器采用冷轧钢板材料，钢板厚度不小于1.1毫米，采用全自动激光切割机、数控机床裁板，二氧化碳保护焊工艺制作，表面经酸洗、磷化防腐防锈处理后静电喷塑，安装液晶屏尺寸：19-24寸，表面尺寸：644*467*160</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，开孔尺寸：615*443mm，最大可装：560*370*60mm，木板尺寸：604*420*12</w:t>
            </w:r>
            <w:r>
              <w:rPr>
                <w:rFonts w:hint="eastAsia" w:ascii="宋体" w:hAnsi="宋体" w:cs="宋体"/>
                <w:b w:val="0"/>
                <w:bCs w:val="0"/>
                <w:i w:val="0"/>
                <w:iCs w:val="0"/>
                <w:color w:val="000000"/>
                <w:sz w:val="18"/>
                <w:szCs w:val="18"/>
                <w:highlight w:val="none"/>
                <w:u w:val="none"/>
                <w:lang w:val="en-US" w:eastAsia="zh-CN" w:bidi="ar"/>
              </w:rPr>
              <w:t xml:space="preserve">mm</w:t>
            </w:r>
            <w:r>
              <w:rPr>
                <w:rFonts w:hint="eastAsia" w:ascii="宋体" w:hAnsi="宋体" w:eastAsia="宋体" w:cs="宋体"/>
                <w:b w:val="0"/>
                <w:bCs w:val="0"/>
                <w:i w:val="0"/>
                <w:iCs w:val="0"/>
                <w:color w:val="000000"/>
                <w:sz w:val="18"/>
                <w:szCs w:val="18"/>
                <w:highlight w:val="none"/>
                <w:u w:val="none"/>
                <w:lang w:val="en-US" w:eastAsia="zh-CN" w:bidi="ar"/>
              </w:rPr>
              <w:t xml:space="preserve">，上面为弹舌拉手，下面为钥匙，实行双重制动。采用特制大阻力气压杆，阻尼缓冲效果，防止快速回弹，损坏显示器和给使用者造成伤害，配减速减震阻尼装置，翻转过程中噪音小，轻便顺畅，安全性高。能隐藏液晶屏显示器，笔记本电脑，一体机的同时还可以隐藏键盘和鼠标，并且配有单独放鼠标的鼠标槽，显示器翻起后直立于桌面，键盘鼠标同时升起与桌面平齐</w:t>
            </w:r>
            <w:r>
              <w:rPr>
                <w:rFonts w:hint="eastAsia" w:ascii="宋体" w:hAnsi="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w:t>
            </w:r>
            <w:r>
              <w:rPr>
                <w:rFonts w:hint="eastAsia" w:ascii="宋体" w:hAnsi="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t xml:space="preserve">表面经酸洗、磷化防腐防锈处理后静电喷塑。</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w:t>
            </w:r>
            <w:r>
              <w:rPr>
                <w:rFonts w:hint="eastAsia" w:ascii="宋体" w:hAnsi="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t xml:space="preserve">桌腿采用1.0mm厚优质冷轧钢板，全钢一体成型，工字形设计，双层钢板结构，桌腿宽度45mm，长度255mm，高度725mm。桌腿前后圆形折弯，增强了承重能力，后挡板加大设计，避免前后同学互相干扰。主机隐藏式。底部配有尼龙支撑脚，可旋转调节高低，调整桌子稳定性，防滑耐用。整体结构为活动件，拆卸方便。</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354965" cy="573405"/>
                      <wp:effectExtent l="0" t="0" r="6985" b="17145"/>
                      <wp:docPr id="92" name="图片 91"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91" descr="IMG_346"/>
                              <pic:cNvPicPr>
                                <a:picLocks noChangeAspect="1"/>
                              </pic:cNvPicPr>
                              <pic:nvPr/>
                            </pic:nvPicPr>
                            <pic:blipFill>
                              <a:blip r:embed="rId101"/>
                              <a:stretch/>
                            </pic:blipFill>
                            <pic:spPr bwMode="auto">
                              <a:xfrm>
                                <a:off x="0" y="0"/>
                                <a:ext cx="354965" cy="5734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27.9pt;height:45.1pt;mso-wrap-distance-left:0.0pt;mso-wrap-distance-top:0.0pt;mso-wrap-distance-right:0.0pt;mso-wrap-distance-bottom:0.0pt;" stroked="f" strokeweight="0.75pt">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900*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1、柜体钢板:采用冷轧钢板，柜体板件采用0.</w:t>
            </w:r>
            <w:r>
              <w:rPr>
                <w:rFonts w:hint="eastAsia" w:ascii="宋体" w:hAnsi="宋体" w:cs="宋体"/>
                <w:b w:val="0"/>
                <w:bCs w:val="0"/>
                <w:i w:val="0"/>
                <w:iCs w:val="0"/>
                <w:color w:val="000000"/>
                <w:sz w:val="18"/>
                <w:szCs w:val="18"/>
                <w:highlight w:val="none"/>
                <w:u w:val="none"/>
                <w:lang w:val="en-US" w:eastAsia="zh-CN" w:bidi="ar"/>
              </w:rPr>
              <w:t xml:space="preserve">8</w:t>
            </w:r>
            <w:r>
              <w:rPr>
                <w:rFonts w:hint="eastAsia" w:ascii="宋体" w:hAnsi="宋体" w:eastAsia="宋体" w:cs="宋体"/>
                <w:b w:val="0"/>
                <w:bCs w:val="0"/>
                <w:i w:val="0"/>
                <w:iCs w:val="0"/>
                <w:color w:val="000000"/>
                <w:sz w:val="18"/>
                <w:szCs w:val="18"/>
                <w:highlight w:val="none"/>
                <w:u w:val="none"/>
                <w:lang w:val="en-US" w:eastAsia="zh-CN" w:bidi="ar"/>
              </w:rPr>
              <w:t xml:space="preserve">mm钢板；</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2、柜体结构:采用整体焊接式，焊点平整，结构稳固，承重、承压性好；所有部件均经打磨，砂光处理，免除钢板表面的毛刺、棱角确保对人体可能造成的伤害;</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3、表面处理:塑粉喷涂，事前经清洗，除油、磷化等前置处理程序，确保质量完美;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4、五金配件：全部采用铰链，具有安装快速，结构简单，开启灵活、锁具可靠、避免因锁具能够相互打开引发的安全问题。</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最高限价1000元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接待桌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38200" cy="485775"/>
                      <wp:effectExtent l="0" t="0" r="0" b="9525"/>
                      <wp:docPr id="93" name="图片 92" descr="IMG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2" descr="IMG_347"/>
                              <pic:cNvPicPr>
                                <a:picLocks noChangeAspect="1"/>
                              </pic:cNvPicPr>
                              <pic:nvPr/>
                            </pic:nvPicPr>
                            <pic:blipFill>
                              <a:blip r:embed="rId102"/>
                              <a:stretch/>
                            </pic:blipFill>
                            <pic:spPr bwMode="auto">
                              <a:xfrm>
                                <a:off x="0" y="0"/>
                                <a:ext cx="838200" cy="485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66.0pt;height:38.2pt;mso-wrap-distance-left:0.0pt;mso-wrap-distance-top:0.0pt;mso-wrap-distance-right:0.0pt;mso-wrap-distance-bottom:0.0pt;" stroked="f" strokeweight="0.75pt">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1100*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5、五金件：电镀件外露表面应色泽均匀，电镀层无剥落，无反锈，无起泡，无裂纹，无花斑。电镀件耐腐蚀（经过100h的中性盐雾试验后）外观评级达到10级。电镀件耐腐蚀符合国家标准。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接待</w:t>
            </w:r>
            <w:r>
              <w:rPr>
                <w:rFonts w:hint="eastAsia" w:ascii="宋体" w:hAnsi="宋体" w:eastAsia="宋体" w:cs="宋体"/>
                <w:b w:val="0"/>
                <w:bCs w:val="0"/>
                <w:i w:val="0"/>
                <w:iCs w:val="0"/>
                <w:color w:val="000000"/>
                <w:sz w:val="18"/>
                <w:szCs w:val="18"/>
                <w:highlight w:val="none"/>
                <w:u w:val="none"/>
                <w:lang w:val="en-US" w:eastAsia="zh-CN" w:bidi="ar"/>
              </w:rPr>
              <w:t xml:space="preserve">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27050" cy="635000"/>
                      <wp:effectExtent l="0" t="0" r="6350" b="12700"/>
                      <wp:docPr id="94" name="图片 93" descr="IMG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93" descr="IMG_348"/>
                              <pic:cNvPicPr>
                                <a:picLocks noChangeAspect="1"/>
                              </pic:cNvPicPr>
                              <pic:nvPr/>
                            </pic:nvPicPr>
                            <pic:blipFill>
                              <a:blip r:embed="rId55"/>
                              <a:stretch/>
                            </pic:blipFill>
                            <pic:spPr bwMode="auto">
                              <a:xfrm>
                                <a:off x="0" y="0"/>
                                <a:ext cx="527050" cy="635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41.5pt;height:50.0pt;mso-wrap-distance-left:0.0pt;mso-wrap-distance-top:0.0pt;mso-wrap-distance-right:0.0pt;mso-wrap-distance-bottom:0.0pt;" stroked="f" strokeweight="0.75pt">
                      <v:path textboxrect="0,0,0,0"/>
                      <v:imagedata r:id="rId55" o:title=""/>
                    </v:shape>
                  </w:pict>
                </mc:Fallback>
              </mc:AlternateContent>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长660*宽610*高970（坐高420）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1、面材：背部为透气网布面料，甲醛含量，PH值，无异味，可分解致癌芳香胺染料，耐酸汗渍色牢度，耐碱汗渍色牢度，对甲苯甲醚均符合国家标准。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2、坐垫采用防火阻燃麻绒布料，甲醛含量，通过香烟抗引燃热性试验，PH值，可分解致癌芳香胺染料均符合国家标准。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3、海绵：座垫使用聚醚型高密度海绵，65%/25%压陷比，75%压缩永久变形，回弹率，干热老化拉伸强度，湿热老化后拉伸强度，甲醛释放量，TVOC，表观密度，回弹性能，压缩永久变形均符合国家标准。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4、扶手：固定PP扶手架，重金属，苯并芘，16种多环芳烃总量均符合国家标准。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5、钢脚：采用优质冷轧钢管，模具折弯成型，表面除油、除锈、磷化处理，带脚垫；</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82600" cy="384175"/>
                      <wp:effectExtent l="0" t="0" r="12700" b="15875"/>
                      <wp:docPr id="95" name="图片 94" descr="IMG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4" descr="IMG_349"/>
                              <pic:cNvPicPr>
                                <a:picLocks noChangeAspect="1"/>
                              </pic:cNvPicPr>
                              <pic:nvPr/>
                            </pic:nvPicPr>
                            <pic:blipFill>
                              <a:blip r:embed="rId103"/>
                              <a:stretch/>
                            </pic:blipFill>
                            <pic:spPr bwMode="auto">
                              <a:xfrm>
                                <a:off x="0" y="0"/>
                                <a:ext cx="482600" cy="384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38.0pt;height:30.2pt;mso-wrap-distance-left:0.0pt;mso-wrap-distance-top:0.0pt;mso-wrap-distance-right:0.0pt;mso-wrap-distance-bottom:0.0pt;" stroked="f" strokeweight="0.75pt">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2200*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科学探究桌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52780" cy="548640"/>
                      <wp:effectExtent l="0" t="0" r="13970" b="3810"/>
                      <wp:docPr id="96" name="图片 95" descr="IMG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5" descr="IMG_350"/>
                              <pic:cNvPicPr>
                                <a:picLocks noChangeAspect="1"/>
                              </pic:cNvPicPr>
                              <pic:nvPr/>
                            </pic:nvPicPr>
                            <pic:blipFill>
                              <a:blip r:embed="rId104"/>
                              <a:stretch/>
                            </pic:blipFill>
                            <pic:spPr bwMode="auto">
                              <a:xfrm>
                                <a:off x="0" y="0"/>
                                <a:ext cx="652780" cy="5486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51.4pt;height:43.2pt;mso-wrap-distance-left:0.0pt;mso-wrap-distance-top:0.0pt;mso-wrap-distance-right:0.0pt;mso-wrap-distance-bottom:0.0pt;" stroked="f" strokeweight="0.75pt">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直径1600*750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加书包箱</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3"/>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5、钢架：采用优质1.5mm厚冷轧钢管，喷涂前使用优质环保磷化液前处理，钢制部件整体使用优质环保塑粉静电喷涂，高温固化，确保质量完美；</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音乐凳</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27380" cy="313690"/>
                      <wp:effectExtent l="0" t="0" r="1270" b="10160"/>
                      <wp:docPr id="97" name="图片 96" descr="IMG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96" descr="IMG_351"/>
                              <pic:cNvPicPr>
                                <a:picLocks noChangeAspect="1"/>
                              </pic:cNvPicPr>
                              <pic:nvPr/>
                            </pic:nvPicPr>
                            <pic:blipFill>
                              <a:blip r:embed="rId105"/>
                              <a:stretch/>
                            </pic:blipFill>
                            <pic:spPr bwMode="auto">
                              <a:xfrm>
                                <a:off x="0" y="0"/>
                                <a:ext cx="627380" cy="3136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9.4pt;height:24.7pt;mso-wrap-distance-left:0.0pt;mso-wrap-distance-top:0.0pt;mso-wrap-distance-right:0.0pt;mso-wrap-distance-bottom:0.0pt;" stroked="f" strokeweight="0.75pt">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420*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320*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1、</w:t>
            </w:r>
            <w:r>
              <w:rPr>
                <w:rFonts w:hint="eastAsia" w:ascii="宋体" w:hAnsi="宋体" w:eastAsia="宋体" w:cs="宋体"/>
                <w:b w:val="0"/>
                <w:bCs w:val="0"/>
                <w:i w:val="0"/>
                <w:iCs w:val="0"/>
                <w:color w:val="000000"/>
                <w:sz w:val="18"/>
                <w:szCs w:val="18"/>
                <w:highlight w:val="none"/>
                <w:u w:val="none"/>
                <w:lang w:val="en-US" w:eastAsia="zh-CN" w:bidi="ar"/>
              </w:rPr>
              <w:t xml:space="preserve">材质：采用PP耐冲击塑料一级新料双色注塑成型。承重不得小于500KG重压，不得变形，须能承受10磅榔头重力锤击不得破裂。不得采用回收料生产，不得采用滚塑，吹塑等工业制造。外框尺寸：42</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*3</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2*32</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2、面均可以形成座位，同时上壳1的二个侧面同样可以形成座位，共同组成多座向的音乐凳，整体结构结构、设计合理，拆装方便使用。</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3、包括上壳1和下壳6，所述下壳“匚”形结构，且下壳的中间部分设有横梁6，横梁6的宽度不得小于10</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,横梁6的内部设有造型腔，造型腔内设有呈T形的结构，内部的顶部与下壳顶部共面设置，T型设计可以增加横梁6的强度，横梁6的正反面都可以作为坐垫使用。横梁6位置离地面高度不得小于13</w:t>
            </w:r>
            <w:r>
              <w:rPr>
                <w:rFonts w:hint="eastAsia" w:ascii="宋体" w:hAnsi="宋体" w:cs="宋体"/>
                <w:b w:val="0"/>
                <w:bCs w:val="0"/>
                <w:i w:val="0"/>
                <w:iCs w:val="0"/>
                <w:color w:val="000000"/>
                <w:sz w:val="18"/>
                <w:szCs w:val="18"/>
                <w:highlight w:val="none"/>
                <w:u w:val="none"/>
                <w:lang w:val="en-US" w:eastAsia="zh-CN" w:bidi="ar"/>
              </w:rPr>
              <w:t xml:space="preserve">0MM</w:t>
            </w:r>
            <w:r>
              <w:rPr>
                <w:rFonts w:hint="eastAsia" w:ascii="宋体" w:hAnsi="宋体" w:eastAsia="宋体" w:cs="宋体"/>
                <w:b w:val="0"/>
                <w:bCs w:val="0"/>
                <w:i w:val="0"/>
                <w:iCs w:val="0"/>
                <w:color w:val="000000"/>
                <w:sz w:val="18"/>
                <w:szCs w:val="18"/>
                <w:highlight w:val="none"/>
                <w:u w:val="none"/>
                <w:lang w:val="en-US" w:eastAsia="zh-CN" w:bidi="ar"/>
              </w:rPr>
              <w:t xml:space="preserve">。横梁正上方需留有凹形拉手槽，正面一样，尺寸为12</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*2</w:t>
            </w:r>
            <w:r>
              <w:rPr>
                <w:rFonts w:hint="eastAsia" w:ascii="宋体" w:hAnsi="宋体" w:cs="宋体"/>
                <w:b w:val="0"/>
                <w:bCs w:val="0"/>
                <w:i w:val="0"/>
                <w:iCs w:val="0"/>
                <w:color w:val="000000"/>
                <w:sz w:val="18"/>
                <w:szCs w:val="18"/>
                <w:highlight w:val="none"/>
                <w:u w:val="none"/>
                <w:lang w:val="en-US" w:eastAsia="zh-CN" w:bidi="ar"/>
              </w:rPr>
              <w:t xml:space="preserve">0</w:t>
            </w:r>
            <w:r>
              <w:rPr>
                <w:rFonts w:hint="eastAsia" w:ascii="宋体" w:hAnsi="宋体" w:eastAsia="宋体" w:cs="宋体"/>
                <w:b w:val="0"/>
                <w:bCs w:val="0"/>
                <w:i w:val="0"/>
                <w:iCs w:val="0"/>
                <w:color w:val="000000"/>
                <w:sz w:val="18"/>
                <w:szCs w:val="18"/>
                <w:highlight w:val="none"/>
                <w:u w:val="none"/>
                <w:lang w:val="en-US" w:eastAsia="zh-CN" w:bidi="ar"/>
              </w:rPr>
              <w:t xml:space="preserve">*2</w:t>
            </w:r>
            <w:r>
              <w:rPr>
                <w:rFonts w:hint="eastAsia" w:ascii="宋体" w:hAnsi="宋体" w:cs="宋体"/>
                <w:b w:val="0"/>
                <w:bCs w:val="0"/>
                <w:i w:val="0"/>
                <w:iCs w:val="0"/>
                <w:color w:val="000000"/>
                <w:sz w:val="18"/>
                <w:szCs w:val="18"/>
                <w:highlight w:val="none"/>
                <w:u w:val="none"/>
                <w:lang w:val="en-US" w:eastAsia="zh-CN" w:bidi="ar"/>
              </w:rPr>
              <w:t xml:space="preserve">0M</w:t>
            </w:r>
            <w:r>
              <w:rPr>
                <w:rFonts w:hint="eastAsia" w:ascii="宋体" w:hAnsi="宋体" w:eastAsia="宋体" w:cs="宋体"/>
                <w:b w:val="0"/>
                <w:bCs w:val="0"/>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音乐合唱台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50545" cy="581660"/>
                      <wp:effectExtent l="0" t="0" r="1905" b="8890"/>
                      <wp:docPr id="98" name="图片 97" descr="IMG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7" descr="IMG_352"/>
                              <pic:cNvPicPr>
                                <a:picLocks noChangeAspect="1"/>
                              </pic:cNvPicPr>
                              <pic:nvPr/>
                            </pic:nvPicPr>
                            <pic:blipFill>
                              <a:blip r:embed="rId106"/>
                              <a:stretch/>
                            </pic:blipFill>
                            <pic:spPr bwMode="auto">
                              <a:xfrm>
                                <a:off x="0" y="0"/>
                                <a:ext cx="550545" cy="5816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3.4pt;height:45.8pt;mso-wrap-distance-left:0.0pt;mso-wrap-distance-top:0.0pt;mso-wrap-distance-right:0.0pt;mso-wrap-distance-bottom:0.0pt;" stroked="f" strokeweight="0.75pt">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1250*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1200*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62</w:t>
            </w:r>
            <w:r>
              <w:rPr>
                <w:rFonts w:hint="eastAsia" w:ascii="宋体" w:hAnsi="宋体" w:cs="宋体"/>
                <w:b w:val="0"/>
                <w:bCs w:val="0"/>
                <w:i w:val="0"/>
                <w:iCs w:val="0"/>
                <w:color w:val="000000"/>
                <w:sz w:val="18"/>
                <w:szCs w:val="18"/>
                <w:highlight w:val="none"/>
                <w:u w:val="none"/>
                <w:lang w:val="en-US" w:eastAsia="zh-CN" w:bidi="ar"/>
              </w:rPr>
              <w:t xml:space="preserve">0</w:t>
            </w:r>
            <w:r/>
          </w:p>
          <w:p>
            <w:pPr>
              <w:jc w:val="center"/>
              <w:keepLines w:val="0"/>
              <w:keepNext w:val="0"/>
              <w:spacing w:line="240" w:lineRule="auto"/>
              <w:widowControl/>
              <w:rPr>
                <w:rFonts w:hint="eastAsia" w:ascii="宋体" w:hAnsi="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1、三层合唱台结构(长&gt;1250mm,台阶宽1200mm,三层高625mm);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2、平面舞台结构(长1250mm,宽1600mm,高度312mm);2.工艺说明:吹塑制作，材质轻，耐磨抗压，抗氧化功能强，吸水性小，优良的电绝缘性，耐寒;</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3、设计特点:符合国家标准和行业标准既造型美观，同时兼顾便于安装维护和管理，环保，硬度高，韧性强，表面耐磨、耐划伤、抗污抗老化、抗压抗冲击。机械强度测试可承重2000KG以上，安全有保障;</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4、拼装合理，牢固，没有多余的凸出的钢构件:采用不同方式拼接组成、三阶、二阶、一阶:</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中空配件侧面设计内陷抓手，底下有站脚，后面配有脚轮方便移动,可随手推出轻松转换位置，保护地面的同时，满足使用方便的要求:(3)合唱台台阶可翻转设计，侧面轮子设计方便推移，未使用时还可倒立放置收纳节省活动空间;</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劳动桌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top"/>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08000" cy="427355"/>
                      <wp:effectExtent l="0" t="0" r="6350" b="10795"/>
                      <wp:docPr id="99" name="图片 98" descr="IMG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98" descr="IMG_353"/>
                              <pic:cNvPicPr>
                                <a:picLocks noChangeAspect="1"/>
                              </pic:cNvPicPr>
                              <pic:nvPr/>
                            </pic:nvPicPr>
                            <pic:blipFill>
                              <a:blip r:embed="rId107"/>
                              <a:stretch/>
                            </pic:blipFill>
                            <pic:spPr bwMode="auto">
                              <a:xfrm>
                                <a:off x="0" y="0"/>
                                <a:ext cx="508000" cy="4273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40.0pt;height:33.6pt;mso-wrap-distance-left:0.0pt;mso-wrap-distance-top:0.0pt;mso-wrap-distance-right:0.0pt;mso-wrap-distance-bottom:0.0pt;" stroked="f" strokeweight="0.75pt">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1800*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1100*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4、产品的材质、结构安全等符合GB/T35607-2017《绿色产品评价家具》等标准要求。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钢化玻璃</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50545" cy="481965"/>
                      <wp:effectExtent l="0" t="0" r="1905" b="13335"/>
                      <wp:docPr id="100" name="图片 99" descr="IMG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99" descr="IMG_354"/>
                              <pic:cNvPicPr>
                                <a:picLocks noChangeAspect="1"/>
                              </pic:cNvPicPr>
                              <pic:nvPr/>
                            </pic:nvPicPr>
                            <pic:blipFill>
                              <a:blip r:embed="rId108"/>
                              <a:stretch/>
                            </pic:blipFill>
                            <pic:spPr bwMode="auto">
                              <a:xfrm>
                                <a:off x="0" y="0"/>
                                <a:ext cx="550545" cy="4819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43.4pt;height:37.9pt;mso-wrap-distance-left:0.0pt;mso-wrap-distance-top:0.0pt;mso-wrap-distance-right:0.0pt;mso-wrap-distance-bottom:0.0pt;" stroked="f" strokeweight="0.75pt">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1800*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1100*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采用CCC认证钢化玻璃，厚度≥1</w:t>
            </w:r>
            <w:r>
              <w:rPr>
                <w:rFonts w:hint="eastAsia" w:ascii="宋体" w:hAnsi="宋体" w:cs="宋体"/>
                <w:b w:val="0"/>
                <w:bCs w:val="0"/>
                <w:i w:val="0"/>
                <w:iCs w:val="0"/>
                <w:color w:val="000000"/>
                <w:sz w:val="18"/>
                <w:szCs w:val="18"/>
                <w:highlight w:val="none"/>
                <w:u w:val="none"/>
                <w:lang w:val="en-US" w:eastAsia="zh-CN" w:bidi="ar"/>
              </w:rPr>
              <w:t xml:space="preserve">0m</w:t>
            </w:r>
            <w:r>
              <w:rPr>
                <w:rFonts w:hint="eastAsia" w:ascii="宋体" w:hAnsi="宋体" w:eastAsia="宋体" w:cs="宋体"/>
                <w:b w:val="0"/>
                <w:bCs w:val="0"/>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办公桌（含侧柜）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60400" cy="382905"/>
                      <wp:effectExtent l="0" t="0" r="6350" b="17145"/>
                      <wp:docPr id="101" name="图片 100" descr="IMG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0" descr="IMG_355"/>
                              <pic:cNvPicPr>
                                <a:picLocks noChangeAspect="1"/>
                              </pic:cNvPicPr>
                              <pic:nvPr/>
                            </pic:nvPicPr>
                            <pic:blipFill>
                              <a:blip r:embed="rId109"/>
                              <a:stretch/>
                            </pic:blipFill>
                            <pic:spPr bwMode="auto">
                              <a:xfrm>
                                <a:off x="0" y="0"/>
                                <a:ext cx="660400" cy="3829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2.0pt;height:30.1pt;mso-wrap-distance-left:0.0pt;mso-wrap-distance-top:0.0pt;mso-wrap-distance-right:0.0pt;mso-wrap-distance-bottom:0.0pt;" stroked="f" strokeweight="0.75pt">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1800*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1500*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，甲醛释放量，总挥发物有机化合物合格。</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3、封边：采用优质PVC树脂封边条同色封边，符合QB/T4463-2013标准要求，甲醛释放量合格，可溶性铅、可溶性铬、可溶性镉、可溶性汞、可溶性硒均为未检出，封边严密、平整、无脱胶、表面无胶渍。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；HJ2541-2016《环境标志产品技术要求胶粘剂》标准，游离甲醛，总挥发性有机物合格。5、五金件：中性盐雾试验耐腐蚀等级达到10级，耐久性符合国家标准。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w:t>
            </w:r>
            <w:r>
              <w:rPr>
                <w:rFonts w:hint="eastAsia" w:ascii="宋体" w:hAnsi="宋体" w:cs="宋体"/>
                <w:b w:val="0"/>
                <w:bCs w:val="0"/>
                <w:i w:val="0"/>
                <w:iCs w:val="0"/>
                <w:color w:val="000000"/>
                <w:sz w:val="18"/>
                <w:szCs w:val="18"/>
                <w:highlight w:val="none"/>
                <w:u w:val="none"/>
                <w:lang w:val="en-US" w:eastAsia="zh-CN" w:bidi="ar"/>
              </w:rPr>
              <w:t xml:space="preserve">100</w:t>
            </w:r>
            <w:r>
              <w:rPr>
                <w:rFonts w:hint="eastAsia" w:ascii="宋体" w:hAnsi="宋体" w:eastAsia="宋体" w:cs="宋体"/>
                <w:b w:val="0"/>
                <w:bCs w:val="0"/>
                <w:i w:val="0"/>
                <w:iCs w:val="0"/>
                <w:color w:val="000000"/>
                <w:sz w:val="18"/>
                <w:szCs w:val="18"/>
                <w:highlight w:val="none"/>
                <w:u w:val="none"/>
                <w:lang w:val="en-US" w:eastAsia="zh-CN" w:bidi="ar"/>
              </w:rPr>
              <w:t xml:space="preserve">和</w:t>
            </w:r>
            <w:r>
              <w:rPr>
                <w:rFonts w:hint="eastAsia" w:ascii="宋体" w:hAnsi="宋体" w:cs="宋体"/>
                <w:b w:val="0"/>
                <w:bCs w:val="0"/>
                <w:i w:val="0"/>
                <w:iCs w:val="0"/>
                <w:color w:val="000000"/>
                <w:sz w:val="18"/>
                <w:szCs w:val="18"/>
                <w:highlight w:val="none"/>
                <w:u w:val="none"/>
                <w:lang w:val="en-US" w:eastAsia="zh-CN" w:bidi="ar"/>
              </w:rPr>
              <w:t xml:space="preserve">101</w:t>
            </w:r>
            <w:r>
              <w:rPr>
                <w:rFonts w:hint="eastAsia" w:ascii="宋体" w:hAnsi="宋体" w:eastAsia="宋体" w:cs="宋体"/>
                <w:b w:val="0"/>
                <w:bCs w:val="0"/>
                <w:i w:val="0"/>
                <w:iCs w:val="0"/>
                <w:color w:val="000000"/>
                <w:sz w:val="18"/>
                <w:szCs w:val="18"/>
                <w:highlight w:val="none"/>
                <w:u w:val="none"/>
                <w:lang w:val="en-US" w:eastAsia="zh-CN" w:bidi="ar"/>
              </w:rPr>
              <w:t xml:space="preserve">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31800" cy="603250"/>
                      <wp:effectExtent l="0" t="0" r="6350" b="6350"/>
                      <wp:docPr id="102" name="图片 101" descr="IMG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01" descr="IMG_356"/>
                              <pic:cNvPicPr>
                                <a:picLocks noChangeAspect="1"/>
                              </pic:cNvPicPr>
                              <pic:nvPr/>
                            </pic:nvPicPr>
                            <pic:blipFill>
                              <a:blip r:embed="rId110"/>
                              <a:stretch/>
                            </pic:blipFill>
                            <pic:spPr bwMode="auto">
                              <a:xfrm>
                                <a:off x="0" y="0"/>
                                <a:ext cx="431799" cy="6032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34.0pt;height:47.5pt;mso-wrap-distance-left:0.0pt;mso-wrap-distance-top:0.0pt;mso-wrap-distance-right:0.0pt;mso-wrap-distance-bottom:0.0pt;" stroked="f" strokeweight="0.75pt">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660*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620*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1260（坐高470）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1、覆面：采用优质阻燃超纤皮饰面，符合：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，摩擦色牢度≥4级；游离甲醛未检出VOC≤</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15mg/kg；禁用偶氮染料未检出，可萃取的重金属≤1mg/kg;经液态浸色及防潮、防污等工艺处理,皮面更加柔</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软舒适,光泽持久性。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符合GB/T10802-2006《通用软质聚醚型聚氨脂泡沫塑料》、GB/T6343-2009《泡沫塑料及橡胶表现密度的测定》，其海绵颜色均匀、无大于6mm对穿孔、无污染、无刺激性气味，密度≥60kg/m³，压膜量达到国家现行检测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3、成型胶合板：成型胶合板，含水率，浸渍剥离性能每一边剥离长度累计≤25mm，抗压性能无破损，断裂，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不脱胶，无异常声响，甲醛释放量，均符合国家标准。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4、脚：五金铝合金脚。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组合背</w:t>
            </w:r>
            <w:r>
              <w:rPr>
                <w:rFonts w:hint="eastAsia" w:ascii="宋体" w:hAnsi="宋体" w:eastAsia="宋体" w:cs="宋体"/>
                <w:b w:val="0"/>
                <w:bCs w:val="0"/>
                <w:i w:val="0"/>
                <w:iCs w:val="0"/>
                <w:color w:val="000000"/>
                <w:sz w:val="18"/>
                <w:szCs w:val="18"/>
                <w:highlight w:val="none"/>
                <w:u w:val="none"/>
                <w:lang w:val="en-US" w:eastAsia="zh-CN" w:bidi="ar"/>
              </w:rPr>
              <w:t xml:space="preserve">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73710" cy="468630"/>
                      <wp:effectExtent l="0" t="0" r="2540" b="7620"/>
                      <wp:docPr id="103" name="图片 102" descr="IMG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2" descr="IMG_357"/>
                              <pic:cNvPicPr>
                                <a:picLocks noChangeAspect="1"/>
                              </pic:cNvPicPr>
                              <pic:nvPr/>
                            </pic:nvPicPr>
                            <pic:blipFill>
                              <a:blip r:embed="rId111"/>
                              <a:stretch/>
                            </pic:blipFill>
                            <pic:spPr bwMode="auto">
                              <a:xfrm>
                                <a:off x="0" y="0"/>
                                <a:ext cx="473710" cy="4686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37.3pt;height:36.9pt;mso-wrap-distance-left:0.0pt;mso-wrap-distance-top:0.0pt;mso-wrap-distance-right:0.0pt;mso-wrap-distance-bottom:0.0pt;" stroked="f" strokeweight="0.75pt">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2000*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1345" cy="280035"/>
                      <wp:effectExtent l="0" t="0" r="8255" b="5715"/>
                      <wp:docPr id="104" name="图片 103" descr="IMG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03" descr="IMG_358"/>
                              <pic:cNvPicPr>
                                <a:picLocks noChangeAspect="1"/>
                              </pic:cNvPicPr>
                              <pic:nvPr/>
                            </pic:nvPicPr>
                            <pic:blipFill>
                              <a:blip r:embed="rId112"/>
                              <a:stretch/>
                            </pic:blipFill>
                            <pic:spPr bwMode="auto">
                              <a:xfrm>
                                <a:off x="0" y="0"/>
                                <a:ext cx="601345" cy="2800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47.3pt;height:22.1pt;mso-wrap-distance-left:0.0pt;mso-wrap-distance-top:0.0pt;mso-wrap-distance-right:0.0pt;mso-wrap-distance-bottom:0.0pt;" stroked="f" strokeweight="0.75pt">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1930*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840*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1、面料：采用优质阻燃超纤皮，柔软贴手，透气性好、应无色差。理化性能：摩擦色牢度（光面革）：干擦（500次）≥4级。耐磨性（光面革）（CS-10，1000g，500r）：无明显损伤、剥落；</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木制件：内部用料不应使用（1）贯通裂缝材（2）昆虫尚在侵蚀的木材（3）轻微腐朽材面积超过零部件面积15%的木材（4）腐朽材深度超过板材厚25%的木材（5）有轻微裂缝或节子，影响结构强度的木材（6）带有树皮的木材；</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3、海绵：采用冷发泡定型海绵。色泽：颜色应均匀，允许轻微杂色，黄芯。气孔：不允许有长度大于6mm的对穿孔和长度大于10mm的气孔。无刺激性气味。75%压缩永久变形率≤8%。回弹率≥35%；</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4、缝纫和包覆：面料缝线应无跳针或明显浮线，无断线或脱线现象或外露线头，嵌线应圆滑顺直及圆弧处均匀对称；</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最高限价3000元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班前椅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398780" cy="516890"/>
                      <wp:effectExtent l="0" t="0" r="1270" b="16510"/>
                      <wp:docPr id="105" name="图片 104" descr="IMG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4" descr="IMG_359"/>
                              <pic:cNvPicPr>
                                <a:picLocks noChangeAspect="1"/>
                              </pic:cNvPicPr>
                              <pic:nvPr/>
                            </pic:nvPicPr>
                            <pic:blipFill>
                              <a:blip r:embed="rId113"/>
                              <a:stretch/>
                            </pic:blipFill>
                            <pic:spPr bwMode="auto">
                              <a:xfrm>
                                <a:off x="0" y="0"/>
                                <a:ext cx="398780" cy="5168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31.4pt;height:40.7pt;mso-wrap-distance-left:0.0pt;mso-wrap-distance-top:0.0pt;mso-wrap-distance-right:0.0pt;mso-wrap-distance-bottom:0.0pt;" stroked="f" strokeweight="0.75pt">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820*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660*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1、覆面：采用优质阻燃超纤皮饰面，符合：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，摩擦色牢度≥4级；游离甲醛未检出VOC≤</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15mg/kg；禁用偶氮染料未检出，可萃取的重金属≤1mg/kg;经液态浸色及防潮、防污等工艺处理,皮面更加柔</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软舒适,光泽持久性。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海绵：采用高密度定型阻燃海绵，符合GB/T10802-2006《通用软质聚醚型聚氨脂泡沫塑料》、GB/T6343-2009《泡沫塑料及橡胶表现密度的测定》，其海绵颜色均匀、无大于6mm对穿孔、无污染、无刺激性气味，密度≥60kg/m³，压膜量达到国家现行检测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3、成型胶合板：成型胶合板，含水率，浸渍剥离性能每一边剥离长度累计≤25mm，抗压性能无破损，断裂，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不脱胶，无异常声响，甲醛释放量，均符合国家标准。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4、脚：五金铝合金脚。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办公桌（含侧柜）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702945" cy="375285"/>
                      <wp:effectExtent l="0" t="0" r="1905" b="5715"/>
                      <wp:docPr id="106" name="图片 105" descr="IMG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05" descr="IMG_360"/>
                              <pic:cNvPicPr>
                                <a:picLocks noChangeAspect="1"/>
                              </pic:cNvPicPr>
                              <pic:nvPr/>
                            </pic:nvPicPr>
                            <pic:blipFill>
                              <a:blip r:embed="rId114"/>
                              <a:stretch/>
                            </pic:blipFill>
                            <pic:spPr bwMode="auto">
                              <a:xfrm>
                                <a:off x="0" y="0"/>
                                <a:ext cx="702945" cy="3752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55.3pt;height:29.5pt;mso-wrap-distance-left:0.0pt;mso-wrap-distance-top:0.0pt;mso-wrap-distance-right:0.0pt;mso-wrap-distance-bottom:0.0pt;" stroked="f" strokeweight="0.75pt">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1600*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1600*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1、面材：优质耐磨三聚氰胺饰面纸，符合国家标准，甲醛释放量符合E0标准；覆面拼贴严密、平整、无脱胶、鼓泡，无裂纹、压痕和划伤；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2、基材：采用优质E0级三聚氰胺板,优质绿色环保产品,符合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，甲醛释放量≤0.02mg/m³，总挥发物有机化合物（TVOC）≤0.05mg/㎡.h。</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3、封边：采用优质PVC树脂封边条同色封边，符合QB/T4463-2013标准要求，甲醛释放量为≤0.1mg/L，可溶性铅、可溶性铬、可溶性镉、可溶性汞、可溶性硒均为未检出，封边严密、平整、无脱胶、表面无胶渍。</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4、采用环保型白乳胶，符合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HJ2541-2016《环境标志产品技术要求胶粘剂》标准，游离甲醛≤0.05g/kg，总挥发性有机物≤29g/L。5、钢架：采用优质1.5mm厚冷轧钢管，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6、五金件：中性盐雾试验耐腐蚀等级达到10级，耐久性符合国家标准。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序号105和106为一套，最高限价2600元/套(桌+椅)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16890" cy="734060"/>
                      <wp:effectExtent l="0" t="0" r="16510" b="8890"/>
                      <wp:docPr id="107" name="图片 106" descr="IMG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06" descr="IMG_361"/>
                              <pic:cNvPicPr>
                                <a:picLocks noChangeAspect="1"/>
                              </pic:cNvPicPr>
                              <pic:nvPr/>
                            </pic:nvPicPr>
                            <pic:blipFill>
                              <a:blip r:embed="rId115"/>
                              <a:stretch/>
                            </pic:blipFill>
                            <pic:spPr bwMode="auto">
                              <a:xfrm>
                                <a:off x="0" y="0"/>
                                <a:ext cx="516890" cy="7340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0.7pt;height:57.8pt;mso-wrap-distance-left:0.0pt;mso-wrap-distance-top:0.0pt;mso-wrap-distance-right:0.0pt;mso-wrap-distance-bottom:0.0pt;" stroked="f" strokeweight="0.75pt">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长645*宽600*高（1190-1250）（座高420-480）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1、椅背：阻燃尼龙塑料、网布结构，网布须符合</w:t>
            </w:r>
            <w:r>
              <w:rPr>
                <w:rFonts w:hint="eastAsia" w:ascii="宋体" w:hAnsi="宋体" w:cs="宋体"/>
                <w:b w:val="0"/>
                <w:bCs w:val="0"/>
                <w:i w:val="0"/>
                <w:iCs w:val="0"/>
                <w:color w:val="000000"/>
                <w:sz w:val="18"/>
                <w:szCs w:val="18"/>
                <w:highlight w:val="none"/>
                <w:u w:val="none"/>
                <w:lang w:val="en-US" w:eastAsia="zh-CN" w:bidi="ar"/>
              </w:rPr>
              <w:t xml:space="preserve">国家标准</w:t>
            </w:r>
            <w:r>
              <w:rPr>
                <w:rFonts w:hint="eastAsia" w:ascii="宋体" w:hAnsi="宋体" w:eastAsia="宋体" w:cs="宋体"/>
                <w:b w:val="0"/>
                <w:bCs w:val="0"/>
                <w:i w:val="0"/>
                <w:iCs w:val="0"/>
                <w:color w:val="000000"/>
                <w:sz w:val="18"/>
                <w:szCs w:val="18"/>
                <w:highlight w:val="none"/>
                <w:u w:val="none"/>
                <w:lang w:val="en-US" w:eastAsia="zh-CN" w:bidi="ar"/>
              </w:rPr>
              <w:t xml:space="preserve">。具有透气性和防静电性能，耐磨性强，厚度≥1.0mm。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2、背框：全新PP一次注塑成型背框，内外框结构，结构坚固。</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3、坐垫：纤维织物（网布），具有耐磨性。</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4、海绵：软质聚氨酯泡沫塑料，回弹性与透气性好、坐感舒适，不易变形，密度≥35kg/m³，海绵厚度≥40mm。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5、座板：采用≥15mm多层曲木板热压成型，板材绿色环保，经防潮、防腐、防蛀等化学处理。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6、扶手：PP塑料固定扶手。</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7、底盘：采用安全可锁定同步倾仰底盘，由≥3.2mm钢板压制而成，经防腐处理。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8、气压棒：金属气压棒，升降行程60mm，棒芯壁厚须符合GB/T29525-2013《座椅升降气弹簧技术条件》要求。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9、椅轮：塑料五星脚，直径330mm。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10、脚轮：万向轮，尼龙材质，直径50mm，具有锁定功能，滑动时无杂音、活动自如。</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vMerge w:val="continue"/>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访客椅</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16890" cy="652145"/>
                      <wp:effectExtent l="0" t="0" r="16510" b="14604"/>
                      <wp:docPr id="108" name="图片 107" descr="IMG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7" descr="IMG_362"/>
                              <pic:cNvPicPr>
                                <a:picLocks noChangeAspect="1"/>
                              </pic:cNvPicPr>
                              <pic:nvPr/>
                            </pic:nvPicPr>
                            <pic:blipFill>
                              <a:blip r:embed="rId20"/>
                              <a:stretch/>
                            </pic:blipFill>
                            <pic:spPr bwMode="auto">
                              <a:xfrm>
                                <a:off x="0" y="0"/>
                                <a:ext cx="516890" cy="6521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0.7pt;height:51.3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长460*宽440*高870（坐高450）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1.实木弯曲木脚符合国家标准，甲醛释放量符合标准；覆面拼贴严密、平整、无脱胶、鼓泡，无裂纹、压痕和划伤；</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2.靠背护腰曲线设计符合人体工学，全新PP材质一体成型，重金属，苯并芘，16种多环芳烃总量均符合国家标准。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3.尼龙脚塞，防滑耐磨</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最高限价500元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心理咨询沙发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18490" cy="386715"/>
                      <wp:effectExtent l="0" t="0" r="10160" b="13335"/>
                      <wp:docPr id="109" name="图片 108" descr="IMG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08" descr="IMG_363"/>
                              <pic:cNvPicPr>
                                <a:picLocks noChangeAspect="1"/>
                              </pic:cNvPicPr>
                              <pic:nvPr/>
                            </pic:nvPicPr>
                            <pic:blipFill>
                              <a:blip r:embed="rId116"/>
                              <a:stretch/>
                            </pic:blipFill>
                            <pic:spPr bwMode="auto">
                              <a:xfrm>
                                <a:off x="0" y="0"/>
                                <a:ext cx="618490" cy="3867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48.7pt;height:30.4pt;mso-wrap-distance-left:0.0pt;mso-wrap-distance-top:0.0pt;mso-wrap-distance-right:0.0pt;mso-wrap-distance-bottom:0.0pt;" stroked="f" strokeweight="0.75pt">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1750*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650*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4"/>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饰面：优质防污绒布，外包仿皮，柔软贴手，透气性好、应无色差，表面无龟裂、破损，无油腻感，厚度和理化性应符合国家现行检验标准。</w:t>
            </w:r>
            <w:r/>
          </w:p>
          <w:p>
            <w:pPr>
              <w:numPr>
                <w:ilvl w:val="0"/>
                <w:numId w:val="24"/>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海棉：优质高密度定型海绵，理化性能应符合国家现行标准。软硬适中，压膜量达到国家现行检验标准。3、内架为全实木方架结构稳固耐用。已经过防虫、防蛀、防霉处理，高温等处理，可以耐变形，抗弯曲。</w:t>
            </w:r>
            <w:r/>
          </w:p>
          <w:p>
            <w:pPr>
              <w:numPr>
                <w:ilvl w:val="0"/>
                <w:numId w:val="24"/>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内部填充物为高密度弹力海绵（软硬适中），发泡均匀、回弹性大，柔软性好，撕裂强度强，永久压缩变形小。绿色环保，无污染弹簧与超力橡筋交叉连接永久固定在木架上，不易变型。</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5、支架：选用优质金属脚，表面喷黑砂、哑光处理。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最高限价3000元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default"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心理咨询独立沙发</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93090" cy="546100"/>
                      <wp:effectExtent l="0" t="0" r="16510" b="6350"/>
                      <wp:docPr id="110" name="图片 109" descr="IMG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09" descr="IMG_364"/>
                              <pic:cNvPicPr>
                                <a:picLocks noChangeAspect="1"/>
                              </pic:cNvPicPr>
                              <pic:nvPr/>
                            </pic:nvPicPr>
                            <pic:blipFill>
                              <a:blip r:embed="rId117"/>
                              <a:stretch/>
                            </pic:blipFill>
                            <pic:spPr bwMode="auto">
                              <a:xfrm>
                                <a:off x="0" y="0"/>
                                <a:ext cx="593090" cy="546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46.7pt;height:43.0pt;mso-wrap-distance-left:0.0pt;mso-wrap-distance-top:0.0pt;mso-wrap-distance-right:0.0pt;mso-wrap-distance-bottom:0.0pt;" stroked="f" strokeweight="0.75pt">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750*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5"/>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饰面：优质防污绒布，外包仿皮，柔软贴手，透气性好、应无色差，表面无龟裂、破损，无油腻感，厚度和理化性应符合国家现行检验标准。</w:t>
            </w:r>
            <w:r/>
          </w:p>
          <w:p>
            <w:pPr>
              <w:numPr>
                <w:ilvl w:val="0"/>
                <w:numId w:val="25"/>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海棉：优质高密度定型海绵，理化性能应符合国家现行标准。软硬适中，压膜量达到国家现行检验标准。3、内架为全实木方架结构稳固耐用。已经过防虫、防蛀、防霉处理，高温等处理，可以耐变形，抗弯曲。</w:t>
            </w:r>
            <w:r/>
          </w:p>
          <w:p>
            <w:pPr>
              <w:numPr>
                <w:ilvl w:val="0"/>
                <w:numId w:val="25"/>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内部填充物为高密度弹力海绵（软硬适中），发泡均匀、回弹性大，柔软性好，撕裂强度强，永久压缩变形小。绿色环保，无污染弹簧与超力橡筋交叉连接永久固定在木架上，不易变型。</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5、支架：选用优质金属脚，表面喷黑砂、哑光处理。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最高限价1200元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组合茶几</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43255" cy="657860"/>
                      <wp:effectExtent l="0" t="0" r="4445" b="8890"/>
                      <wp:docPr id="111" name="图片 110" descr="IMG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10" descr="IMG_365"/>
                              <pic:cNvPicPr>
                                <a:picLocks noChangeAspect="1"/>
                              </pic:cNvPicPr>
                              <pic:nvPr/>
                            </pic:nvPicPr>
                            <pic:blipFill>
                              <a:blip r:embed="rId118"/>
                              <a:stretch/>
                            </pic:blipFill>
                            <pic:spPr bwMode="auto">
                              <a:xfrm>
                                <a:off x="0" y="0"/>
                                <a:ext cx="643255" cy="6578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0.6pt;height:51.8pt;mso-wrap-distance-left:0.0pt;mso-wrap-distance-top:0.0pt;mso-wrap-distance-right:0.0pt;mso-wrap-distance-bottom:0.0pt;" stroked="f" strokeweight="0.75pt">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直径</w:t>
            </w:r>
            <w:r>
              <w:rPr>
                <w:rFonts w:hint="eastAsia" w:ascii="宋体" w:hAnsi="宋体" w:eastAsia="宋体" w:cs="宋体"/>
                <w:b w:val="0"/>
                <w:bCs w:val="0"/>
                <w:i w:val="0"/>
                <w:iCs w:val="0"/>
                <w:color w:val="000000"/>
                <w:sz w:val="18"/>
                <w:szCs w:val="18"/>
                <w:highlight w:val="none"/>
                <w:u w:val="none"/>
                <w:lang w:val="en-US" w:eastAsia="zh-CN" w:bidi="ar"/>
              </w:rPr>
              <w:t xml:space="preserve">600*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490</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cs="宋体"/>
                <w:b w:val="0"/>
                <w:bCs w:val="0"/>
                <w:i w:val="0"/>
                <w:iCs w:val="0"/>
                <w:color w:val="000000"/>
                <w:sz w:val="18"/>
                <w:szCs w:val="18"/>
                <w:highlight w:val="none"/>
                <w:u w:val="none"/>
                <w:lang w:val="en-US" w:eastAsia="zh-CN" w:bidi="ar"/>
              </w:rPr>
              <w:t xml:space="preserve">直径</w:t>
            </w:r>
            <w:r>
              <w:rPr>
                <w:rFonts w:hint="eastAsia" w:ascii="宋体" w:hAnsi="宋体" w:eastAsia="宋体" w:cs="宋体"/>
                <w:b w:val="0"/>
                <w:bCs w:val="0"/>
                <w:i w:val="0"/>
                <w:iCs w:val="0"/>
                <w:color w:val="000000"/>
                <w:sz w:val="18"/>
                <w:szCs w:val="18"/>
                <w:highlight w:val="none"/>
                <w:u w:val="none"/>
                <w:lang w:val="en-US" w:eastAsia="zh-CN" w:bidi="ar"/>
              </w:rPr>
              <w:t xml:space="preserve">500*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numPr>
                <w:ilvl w:val="0"/>
                <w:numId w:val="26"/>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几面：采用优质</w:t>
            </w:r>
            <w:r>
              <w:rPr>
                <w:rFonts w:hint="eastAsia" w:ascii="宋体" w:hAnsi="宋体" w:cs="宋体"/>
                <w:b w:val="0"/>
                <w:bCs w:val="0"/>
                <w:i w:val="0"/>
                <w:iCs w:val="0"/>
                <w:color w:val="000000"/>
                <w:sz w:val="18"/>
                <w:szCs w:val="18"/>
                <w:highlight w:val="none"/>
                <w:u w:val="none"/>
                <w:lang w:val="en-US" w:eastAsia="zh-CN" w:bidi="ar"/>
              </w:rPr>
              <w:t xml:space="preserve">E0级三聚氰胺板</w:t>
            </w:r>
            <w:r>
              <w:rPr>
                <w:rFonts w:hint="eastAsia" w:ascii="宋体" w:hAnsi="宋体" w:eastAsia="宋体" w:cs="宋体"/>
                <w:b w:val="0"/>
                <w:bCs w:val="0"/>
                <w:i w:val="0"/>
                <w:iCs w:val="0"/>
                <w:color w:val="000000"/>
                <w:sz w:val="18"/>
                <w:szCs w:val="18"/>
                <w:highlight w:val="none"/>
                <w:u w:val="none"/>
                <w:lang w:val="en-US" w:eastAsia="zh-CN" w:bidi="ar"/>
              </w:rPr>
              <w:t xml:space="preserve">，水性油漆喷涂，环保性能</w:t>
            </w:r>
            <w:r>
              <w:rPr>
                <w:rFonts w:hint="eastAsia" w:ascii="宋体" w:hAnsi="宋体" w:cs="宋体"/>
                <w:b w:val="0"/>
                <w:bCs w:val="0"/>
                <w:i w:val="0"/>
                <w:iCs w:val="0"/>
                <w:color w:val="000000"/>
                <w:sz w:val="18"/>
                <w:szCs w:val="18"/>
                <w:highlight w:val="none"/>
                <w:u w:val="none"/>
                <w:lang w:val="en-US" w:eastAsia="zh-CN" w:bidi="ar"/>
              </w:rPr>
              <w:t xml:space="preserve">符合国家标准。</w:t>
            </w:r>
            <w:r/>
          </w:p>
          <w:p>
            <w:pPr>
              <w:numPr>
                <w:ilvl w:val="0"/>
                <w:numId w:val="26"/>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同色PVC封边，强度高、不变形、承重性强，所有材料均经过防虫、防腐等化学处理甲醛释放量符合国际标准。</w:t>
            </w:r>
            <w:r/>
          </w:p>
          <w:p>
            <w:pPr>
              <w:numPr>
                <w:ilvl w:val="0"/>
                <w:numId w:val="26"/>
              </w:numPr>
              <w:ind w:left="0" w:firstLine="0"/>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胶水:使用优质白乳胶、热熔胶，保证贴合及封边牢固</w:t>
            </w:r>
            <w:r>
              <w:rPr>
                <w:rFonts w:hint="eastAsia" w:ascii="宋体" w:hAnsi="宋体" w:cs="宋体"/>
                <w:b w:val="0"/>
                <w:bCs w:val="0"/>
                <w:i w:val="0"/>
                <w:iCs w:val="0"/>
                <w:color w:val="000000"/>
                <w:sz w:val="18"/>
                <w:szCs w:val="18"/>
                <w:highlight w:val="none"/>
                <w:u w:val="none"/>
                <w:lang w:val="en-US" w:eastAsia="zh-CN" w:bidi="ar"/>
              </w:rPr>
              <w:t xml:space="preserve">。</w:t>
            </w:r>
            <w:r/>
          </w:p>
          <w:p>
            <w:pPr>
              <w:numPr>
                <w:ilvl w:val="0"/>
                <w:numId w:val="0"/>
              </w:num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4、桌脚：优质榉木实木脚。</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最高限价650元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沙盘桌</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609600" cy="561340"/>
                      <wp:effectExtent l="0" t="0" r="0" b="10160"/>
                      <wp:docPr id="112" name="图片 111" descr="IMG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11" descr="IMG_366"/>
                              <pic:cNvPicPr>
                                <a:picLocks noChangeAspect="1"/>
                              </pic:cNvPicPr>
                              <pic:nvPr/>
                            </pic:nvPicPr>
                            <pic:blipFill>
                              <a:blip r:embed="rId119"/>
                              <a:stretch/>
                            </pic:blipFill>
                            <pic:spPr bwMode="auto">
                              <a:xfrm>
                                <a:off x="0" y="0"/>
                                <a:ext cx="609600" cy="5613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48.0pt;height:44.2pt;mso-wrap-distance-left:0.0pt;mso-wrap-distance-top:0.0pt;mso-wrap-distance-right:0.0pt;mso-wrap-distance-bottom:0.0pt;" stroked="f" strokeweight="0.75pt">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720*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570*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1、基材：采用阻燃橡胶木直拼板，甲醛释放量符合GB/T17657-2022《人造板及饰面人造板理化性能试验方法》、GB/T39600-2021《人造板及其制品甲醛释放量分级》标准要求。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油漆：采用环保水性底漆与水性面漆，漆面光泽高透，颜色均匀，抗菌率、耐霉菌性、有害物质限量、100h以上耐黄变检测、500h以上耐人工气候老化检测结果需符合GB/T21866-2008《抗菌涂料（漆膜）抗菌性测定法和抗菌效果》、GB/T1741-2020《漆膜耐霉菌性测定法》、GB/T23999-2009《室内装饰装修用水性木器涂料》、GB/T1865-2009《色漆和清漆人工气候老化和人工辐射曝露滤过的氙弧辐射》、GB/T1766-2008《色漆和清漆　涂层老化的评级方法》的标准要求。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3、五金件：采用环保五金，可迁移元素、中性盐雾测试等需符合GB/T10125-2021《人造气氛腐蚀试验　盐雾试验》的标准要求。</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4、产品的材质、结构安全等符合GB/T35607-2017《绿色产品评价家具》等标准要求。</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储物高柜</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33400" cy="400050"/>
                      <wp:effectExtent l="0" t="0" r="0" b="0"/>
                      <wp:docPr id="113" name="图片 112" descr="IMG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12" descr="IMG_367"/>
                              <pic:cNvPicPr>
                                <a:picLocks noChangeAspect="1"/>
                              </pic:cNvPicPr>
                              <pic:nvPr/>
                            </pic:nvPicPr>
                            <pic:blipFill>
                              <a:blip r:embed="rId120"/>
                              <a:stretch/>
                            </pic:blipFill>
                            <pic:spPr bwMode="auto">
                              <a:xfrm>
                                <a:off x="0" y="0"/>
                                <a:ext cx="533400" cy="400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42.0pt;height:31.5pt;mso-wrap-distance-left:0.0pt;mso-wrap-distance-top:0.0pt;mso-wrap-distance-right:0.0pt;mso-wrap-distance-bottom:0.0pt;" stroked="f" strokeweight="0.75pt">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2700*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400*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1、采用25MM及16MME0级</w:t>
            </w:r>
            <w:r>
              <w:rPr>
                <w:rFonts w:hint="eastAsia" w:ascii="宋体" w:hAnsi="宋体" w:cs="宋体"/>
                <w:b w:val="0"/>
                <w:bCs w:val="0"/>
                <w:i w:val="0"/>
                <w:iCs w:val="0"/>
                <w:color w:val="000000"/>
                <w:sz w:val="18"/>
                <w:szCs w:val="18"/>
                <w:highlight w:val="none"/>
                <w:u w:val="none"/>
                <w:lang w:val="en-US" w:eastAsia="zh-CN" w:bidi="ar"/>
              </w:rPr>
              <w:t xml:space="preserve">阻燃双饰面刨花板</w:t>
            </w:r>
            <w:r>
              <w:rPr>
                <w:rFonts w:hint="eastAsia" w:ascii="宋体" w:hAnsi="宋体" w:eastAsia="宋体" w:cs="宋体"/>
                <w:b w:val="0"/>
                <w:bCs w:val="0"/>
                <w:i w:val="0"/>
                <w:iCs w:val="0"/>
                <w:color w:val="000000"/>
                <w:sz w:val="18"/>
                <w:szCs w:val="18"/>
                <w:highlight w:val="none"/>
                <w:u w:val="none"/>
                <w:lang w:val="en-US" w:eastAsia="zh-CN" w:bidi="ar"/>
              </w:rPr>
              <w:t xml:space="preserve">，静曲强度、弹性模量、内结合强度、表面胶合强度均要求合格。甲醛释放量符合检测结果，TVOC（总挥发性有机化合物）含量符合国家标准。2、封边：采用同色PVC封边，无缝封边，具有良好的耐气候性能，不易受环境、温度变化而产生收缩、膨胀的问题。封边处无脱胶、鼓泡、透胶、露底。甲醛释放量符合检测结果。3、柜面：外表光洁，无污斑，无划痕、无光泽不均、无鼓泡、鼓包、厚度偏差±3mm，垂直度偏差≤2mm/m，边缘直度偏差≤1mm/m、平整度偏差≤1%，表面耐冷热循环、表面耐划痕、表面耐磨、表面耐香烟灼烧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4、铰链：中性盐雾试验耐腐蚀等级达到10级，操作力、功能：垂直静载荷、水平静载荷、耐久性、下沉量符合国家标准。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5、拉手：边缘圆滑，贴合手指着力点，轻松拉合，无需费力。外表光洁，无污渍，无划痕，无明显色差。耐老化性：外观颜色变色评级达到4级，重金属(可溶性铅、可溶性镉、可溶性鉻、可溶性汞）均≤5mg/kg。</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6、锁具电镀件外露表面应色泽均匀，电镀层无剥落，无反锈，无起泡，无裂纹，无花斑。电镀件耐腐蚀（经过100h的中性盐雾试验后）外观评级达到10级。电镀件耐腐蚀符合国家标准。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多功能讲台</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466090" cy="423545"/>
                      <wp:effectExtent l="0" t="0" r="10160" b="14604"/>
                      <wp:docPr id="114" name="图片 113" descr="IMG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13" descr="IMG_368"/>
                              <pic:cNvPicPr>
                                <a:picLocks noChangeAspect="1"/>
                              </pic:cNvPicPr>
                              <pic:nvPr/>
                            </pic:nvPicPr>
                            <pic:blipFill>
                              <a:blip r:embed="rId121"/>
                              <a:stretch/>
                            </pic:blipFill>
                            <pic:spPr bwMode="auto">
                              <a:xfrm>
                                <a:off x="0" y="0"/>
                                <a:ext cx="466090" cy="42354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36.7pt;height:33.4pt;mso-wrap-distance-left:0.0pt;mso-wrap-distance-top:0.0pt;mso-wrap-distance-right:0.0pt;mso-wrap-distance-bottom:0.0pt;" stroked="f" strokeweight="0.75pt">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长1200*宽680*高740-1130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1、桌面采用尺寸为1200*680*18mm阻燃MDF吸塑板，静曲强度、弹性模量、内结合强度、表面胶合强度均要求合格。甲醛释放量符合检测结果，TVOC（总挥发性有机化合物）含量符合国家标准。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支架：采用优质1.5mm厚度铝脚和钢架组成，采用优质冷轧退火材料作为基板，采用热镀锌工艺，具有抗酸、防锈、防蚀、使用年限长等特点。3、粉末喷涂：表面采用环保室内型环氧树脂静电粉末喷涂，喷涂采用自动流水线喷涂，喷涂前必须经过除油、水洗、硅烷镀膜（或者磷化镀膜）等前处理程序，确保产品表面光洁、色泽均匀、附着力强、无杂质颗粒；喷涂层膜厚度均匀，表面喷粉颜色靓丽，具有环保、抑菌、防锈、耐腐蚀、绝缘性高、附着力强、耐摩擦等技术特点。</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4、脚轮：尼龙PA轮，活动自如，4轮可锁定，耐磨性及其他理化性能均能达到国家标准。</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5、升降范围:740-1135mm。</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6、最大承重:120kgs</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俩层推车</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50545" cy="525780"/>
                      <wp:effectExtent l="0" t="0" r="1905" b="7620"/>
                      <wp:docPr id="115" name="图片 114" descr="IMG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14" descr="IMG_369"/>
                              <pic:cNvPicPr>
                                <a:picLocks noChangeAspect="1"/>
                              </pic:cNvPicPr>
                              <pic:nvPr/>
                            </pic:nvPicPr>
                            <pic:blipFill>
                              <a:blip r:embed="rId122"/>
                              <a:stretch/>
                            </pic:blipFill>
                            <pic:spPr bwMode="auto">
                              <a:xfrm>
                                <a:off x="0" y="0"/>
                                <a:ext cx="550545" cy="5257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43.4pt;height:41.4pt;mso-wrap-distance-left:0.0pt;mso-wrap-distance-top:0.0pt;mso-wrap-distance-right:0.0pt;mso-wrap-distance-bottom:0.0pt;" stroked="f" strokeweight="0.75pt">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360*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1、钢架：采用优质冷轧钢板/冷轧钢管，厚度1.5mm，喷涂前使用优质环保磷化液前处理，钢制部件整体使用优质环保塑粉静电喷涂，高温固化，确保质量完美。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2、五金配件：采用优质五金配件；金属合金件应无锈蚀，表面细密，应无裂痕、毛。焊接件焊接部位应牢固，焊缝均匀，应无毛刺、裂纹等缺陷；</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3、成品甲醛释放量符合</w:t>
            </w:r>
            <w:r>
              <w:rPr>
                <w:rFonts w:hint="eastAsia" w:ascii="宋体" w:hAnsi="宋体" w:cs="宋体"/>
                <w:b w:val="0"/>
                <w:bCs w:val="0"/>
                <w:i w:val="0"/>
                <w:iCs w:val="0"/>
                <w:color w:val="000000"/>
                <w:sz w:val="18"/>
                <w:szCs w:val="18"/>
                <w:highlight w:val="none"/>
                <w:u w:val="none"/>
                <w:lang w:val="en-US" w:eastAsia="zh-CN" w:bidi="ar"/>
              </w:rPr>
              <w:t xml:space="preserve">国家</w:t>
            </w:r>
            <w:r>
              <w:rPr>
                <w:rFonts w:hint="eastAsia" w:ascii="宋体" w:hAnsi="宋体" w:eastAsia="宋体" w:cs="宋体"/>
                <w:b w:val="0"/>
                <w:bCs w:val="0"/>
                <w:i w:val="0"/>
                <w:iCs w:val="0"/>
                <w:color w:val="000000"/>
                <w:sz w:val="18"/>
                <w:szCs w:val="18"/>
                <w:highlight w:val="none"/>
                <w:u w:val="none"/>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4"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三层推车</w:t>
            </w: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558800" cy="641350"/>
                      <wp:effectExtent l="0" t="0" r="12700" b="6350"/>
                      <wp:docPr id="116" name="图片 115" descr="IMG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5" descr="IMG_370"/>
                              <pic:cNvPicPr>
                                <a:picLocks noChangeAspect="1"/>
                              </pic:cNvPicPr>
                              <pic:nvPr/>
                            </pic:nvPicPr>
                            <pic:blipFill>
                              <a:blip r:embed="rId123"/>
                              <a:stretch/>
                            </pic:blipFill>
                            <pic:spPr bwMode="auto">
                              <a:xfrm>
                                <a:off x="0" y="0"/>
                                <a:ext cx="558800" cy="641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44.0pt;height:50.5pt;mso-wrap-distance-left:0.0pt;mso-wrap-distance-top:0.0pt;mso-wrap-distance-right:0.0pt;mso-wrap-distance-bottom:0.0pt;" stroked="f" strokeweight="0.75pt">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cs="宋体"/>
                <w:b w:val="0"/>
                <w:bCs w:val="0"/>
                <w:i w:val="0"/>
                <w:iCs w:val="0"/>
                <w:color w:val="000000"/>
                <w:sz w:val="18"/>
                <w:szCs w:val="18"/>
                <w:highlight w:val="none"/>
                <w:u w:val="none"/>
                <w:lang w:val="en-US" w:eastAsia="zh-CN" w:bidi="ar"/>
              </w:rPr>
              <w:t xml:space="preserve">长</w:t>
            </w:r>
            <w:r>
              <w:rPr>
                <w:rFonts w:hint="eastAsia" w:ascii="宋体" w:hAnsi="宋体" w:eastAsia="宋体" w:cs="宋体"/>
                <w:b w:val="0"/>
                <w:bCs w:val="0"/>
                <w:i w:val="0"/>
                <w:iCs w:val="0"/>
                <w:color w:val="000000"/>
                <w:sz w:val="18"/>
                <w:szCs w:val="18"/>
                <w:highlight w:val="none"/>
                <w:u w:val="none"/>
                <w:lang w:val="en-US" w:eastAsia="zh-CN" w:bidi="ar"/>
              </w:rPr>
              <w:t xml:space="preserve">450*</w:t>
            </w:r>
            <w:r>
              <w:rPr>
                <w:rFonts w:hint="eastAsia" w:ascii="宋体" w:hAnsi="宋体" w:cs="宋体"/>
                <w:b w:val="0"/>
                <w:bCs w:val="0"/>
                <w:i w:val="0"/>
                <w:iCs w:val="0"/>
                <w:color w:val="000000"/>
                <w:sz w:val="18"/>
                <w:szCs w:val="18"/>
                <w:highlight w:val="none"/>
                <w:u w:val="none"/>
                <w:lang w:val="en-US" w:eastAsia="zh-CN" w:bidi="ar"/>
              </w:rPr>
              <w:t xml:space="preserve">宽</w:t>
            </w:r>
            <w:r>
              <w:rPr>
                <w:rFonts w:hint="eastAsia" w:ascii="宋体" w:hAnsi="宋体" w:eastAsia="宋体" w:cs="宋体"/>
                <w:b w:val="0"/>
                <w:bCs w:val="0"/>
                <w:i w:val="0"/>
                <w:iCs w:val="0"/>
                <w:color w:val="000000"/>
                <w:sz w:val="18"/>
                <w:szCs w:val="18"/>
                <w:highlight w:val="none"/>
                <w:u w:val="none"/>
                <w:lang w:val="en-US" w:eastAsia="zh-CN" w:bidi="ar"/>
              </w:rPr>
              <w:t xml:space="preserve">360*</w:t>
            </w:r>
            <w:r>
              <w:rPr>
                <w:rFonts w:hint="eastAsia" w:ascii="宋体" w:hAnsi="宋体" w:cs="宋体"/>
                <w:b w:val="0"/>
                <w:bCs w:val="0"/>
                <w:i w:val="0"/>
                <w:iCs w:val="0"/>
                <w:color w:val="000000"/>
                <w:sz w:val="18"/>
                <w:szCs w:val="18"/>
                <w:highlight w:val="none"/>
                <w:u w:val="none"/>
                <w:lang w:val="en-US" w:eastAsia="zh-CN" w:bidi="ar"/>
              </w:rPr>
              <w:t xml:space="preserve">高</w:t>
            </w:r>
            <w:r>
              <w:rPr>
                <w:rFonts w:hint="eastAsia" w:ascii="宋体" w:hAnsi="宋体" w:eastAsia="宋体" w:cs="宋体"/>
                <w:b w:val="0"/>
                <w:bCs w:val="0"/>
                <w:i w:val="0"/>
                <w:iCs w:val="0"/>
                <w:color w:val="000000"/>
                <w:sz w:val="18"/>
                <w:szCs w:val="18"/>
                <w:highlight w:val="none"/>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jc w:val="left"/>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1、钢架：采用优质冷轧钢板/冷轧钢管，厚度1.5mm，喷涂前使用优质环保磷化液前处理，钢制部件整体使用优质环保塑粉静电喷涂，高温固化，确保质量完美。</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2、五金配件：采用优质五金配件；金属合金件应无锈蚀，表面细密，应无裂痕、毛。焊接件焊接部位应牢固，焊缝均匀，应无毛刺、裂纹等缺陷；</w:t>
            </w:r>
            <w:r>
              <w:rPr>
                <w:rFonts w:hint="eastAsia" w:ascii="宋体" w:hAnsi="宋体" w:eastAsia="宋体" w:cs="宋体"/>
                <w:b w:val="0"/>
                <w:bCs w:val="0"/>
                <w:i w:val="0"/>
                <w:iCs w:val="0"/>
                <w:color w:val="000000"/>
                <w:sz w:val="18"/>
                <w:szCs w:val="18"/>
                <w:highlight w:val="none"/>
                <w:u w:val="none"/>
                <w:lang w:val="en-US" w:eastAsia="zh-CN" w:bidi="ar"/>
              </w:rPr>
              <w:br/>
            </w:r>
            <w:r>
              <w:rPr>
                <w:rFonts w:hint="eastAsia" w:ascii="宋体" w:hAnsi="宋体" w:eastAsia="宋体" w:cs="宋体"/>
                <w:b w:val="0"/>
                <w:bCs w:val="0"/>
                <w:i w:val="0"/>
                <w:iCs w:val="0"/>
                <w:color w:val="000000"/>
                <w:sz w:val="18"/>
                <w:szCs w:val="18"/>
                <w:highlight w:val="none"/>
                <w:u w:val="none"/>
                <w:lang w:val="en-US" w:eastAsia="zh-CN" w:bidi="ar"/>
              </w:rPr>
              <w:t xml:space="preserve">3、成品甲醛释放量符合</w:t>
            </w:r>
            <w:r>
              <w:rPr>
                <w:rFonts w:hint="eastAsia" w:ascii="宋体" w:hAnsi="宋体" w:cs="宋体"/>
                <w:b w:val="0"/>
                <w:bCs w:val="0"/>
                <w:i w:val="0"/>
                <w:iCs w:val="0"/>
                <w:color w:val="000000"/>
                <w:sz w:val="18"/>
                <w:szCs w:val="18"/>
                <w:highlight w:val="none"/>
                <w:u w:val="none"/>
                <w:lang w:val="en-US" w:eastAsia="zh-CN" w:bidi="ar"/>
              </w:rPr>
              <w:t xml:space="preserve">国家</w:t>
            </w:r>
            <w:r>
              <w:rPr>
                <w:rFonts w:hint="eastAsia" w:ascii="宋体" w:hAnsi="宋体" w:eastAsia="宋体" w:cs="宋体"/>
                <w:b w:val="0"/>
                <w:bCs w:val="0"/>
                <w:i w:val="0"/>
                <w:iCs w:val="0"/>
                <w:color w:val="000000"/>
                <w:sz w:val="18"/>
                <w:szCs w:val="18"/>
                <w:highlight w:val="none"/>
                <w:u w:val="none"/>
                <w:lang w:val="en-US" w:eastAsia="zh-CN" w:bidi="ar"/>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spacing w:line="240" w:lineRule="auto"/>
              <w:widowControl/>
              <w:rPr>
                <w:rFonts w:hint="eastAsia"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r>
            <w:r/>
          </w:p>
        </w:tc>
      </w:tr>
    </w:tbl>
    <w:p>
      <w:pPr>
        <w:pStyle w:val="998"/>
        <w:spacing w:line="460" w:lineRule="exact"/>
        <w:rPr>
          <w:rFonts w:hint="eastAsia" w:ascii="宋体" w:hAnsi="宋体" w:eastAsia="宋体" w:cs="宋体"/>
          <w:b w:val="0"/>
          <w:bCs w:val="0"/>
          <w:sz w:val="24"/>
          <w:szCs w:val="24"/>
          <w:highlight w:val="none"/>
        </w:rPr>
      </w:pPr>
      <w:r>
        <w:rPr>
          <w:rFonts w:hint="eastAsia" w:ascii="宋体" w:hAnsi="宋体" w:eastAsia="宋体" w:cs="宋体"/>
          <w:sz w:val="24"/>
          <w:szCs w:val="24"/>
        </w:rPr>
        <w:t xml:space="preserve">注：</w:t>
      </w:r>
      <w:r>
        <w:rPr>
          <w:rFonts w:hint="eastAsia" w:ascii="宋体" w:hAnsi="宋体" w:eastAsia="宋体" w:cs="宋体"/>
          <w:b w:val="0"/>
          <w:bCs w:val="0"/>
          <w:sz w:val="24"/>
          <w:szCs w:val="24"/>
          <w:highlight w:val="none"/>
        </w:rPr>
        <w:t xml:space="preserve">1、尺寸允许±5%偏离，所附的图样为参照图样。</w:t>
      </w:r>
      <w:r/>
    </w:p>
    <w:p>
      <w:pPr>
        <w:pStyle w:val="998"/>
        <w:numPr>
          <w:ilvl w:val="0"/>
          <w:numId w:val="27"/>
        </w:numPr>
        <w:ind w:firstLine="480"/>
        <w:spacing w:line="460" w:lineRule="exact"/>
        <w:rPr>
          <w:rFonts w:hint="eastAsia"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核心产品：清单序号</w:t>
      </w:r>
      <w:r>
        <w:rPr>
          <w:rFonts w:hint="eastAsia" w:hAnsi="宋体" w:eastAsia="宋体" w:cs="宋体"/>
          <w:b w:val="0"/>
          <w:bCs w:val="0"/>
          <w:sz w:val="24"/>
          <w:szCs w:val="24"/>
          <w:highlight w:val="none"/>
          <w:lang w:val="en-US" w:eastAsia="zh-CN"/>
        </w:rPr>
        <w:t xml:space="preserve">22升降课桌、升降课椅</w:t>
      </w:r>
      <w:r>
        <w:rPr>
          <w:rFonts w:hint="eastAsia" w:hAnsi="宋体" w:eastAsia="宋体" w:cs="宋体"/>
          <w:b w:val="0"/>
          <w:bCs w:val="0"/>
          <w:sz w:val="24"/>
          <w:szCs w:val="24"/>
          <w:highlight w:val="none"/>
          <w:lang w:eastAsia="zh-CN"/>
        </w:rPr>
        <w:t xml:space="preserve">。</w:t>
      </w:r>
      <w:r/>
    </w:p>
    <w:p>
      <w:pPr>
        <w:pStyle w:val="998"/>
        <w:ind w:firstLine="480"/>
        <w:spacing w:line="460" w:lineRule="exact"/>
        <w:rPr>
          <w:rFonts w:hint="eastAsia" w:hAnsi="宋体" w:eastAsia="宋体" w:cs="宋体"/>
          <w:b w:val="0"/>
          <w:bCs w:val="0"/>
          <w:sz w:val="24"/>
          <w:szCs w:val="24"/>
          <w:highlight w:val="none"/>
          <w:lang w:eastAsia="zh-CN"/>
        </w:rPr>
      </w:pPr>
      <w:r>
        <w:rPr>
          <w:rFonts w:hint="eastAsia" w:hAnsi="宋体" w:eastAsia="宋体" w:cs="宋体"/>
          <w:b w:val="0"/>
          <w:bCs w:val="0"/>
          <w:sz w:val="24"/>
          <w:szCs w:val="24"/>
          <w:highlight w:val="none"/>
          <w:lang w:val="en-US" w:eastAsia="zh-CN"/>
        </w:rPr>
        <w:t xml:space="preserve">3.产品要符合甲醛、重金属、VOC、阻燃性能等多项环保标准，确保安全环保。</w:t>
      </w:r>
      <w:r/>
    </w:p>
    <w:p>
      <w:pPr>
        <w:pStyle w:val="998"/>
        <w:numPr>
          <w:ilvl w:val="0"/>
          <w:numId w:val="1"/>
        </w:numPr>
        <w:ind w:left="0" w:firstLine="0"/>
        <w:spacing w:line="460" w:lineRule="exact"/>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原材料技术要求</w:t>
      </w:r>
      <w:r/>
    </w:p>
    <w:tbl>
      <w:tblPr>
        <w:tblStyle w:val="1019"/>
        <w:tblpPr w:horzAnchor="page" w:tblpX="1335" w:vertAnchor="text" w:tblpY="31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94"/>
        <w:gridCol w:w="5297"/>
        <w:gridCol w:w="2762"/>
      </w:tblGrid>
      <w:tr>
        <w:trPr/>
        <w:tc>
          <w:tcPr>
            <w:tcW w:w="240" w:type="dxa"/>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序号</w:t>
            </w:r>
            <w:r/>
          </w:p>
        </w:tc>
        <w:tc>
          <w:tcPr>
            <w:tcW w:w="0" w:type="auto"/>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名称</w:t>
            </w:r>
            <w:r/>
          </w:p>
        </w:tc>
        <w:tc>
          <w:tcPr>
            <w:tcW w:w="0" w:type="auto"/>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技术要求</w:t>
            </w:r>
            <w:r/>
          </w:p>
        </w:tc>
        <w:tc>
          <w:tcPr>
            <w:tcW w:w="0" w:type="auto"/>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依据标准</w:t>
            </w:r>
            <w:r/>
          </w:p>
        </w:tc>
      </w:tr>
      <w:tr>
        <w:trPr/>
        <w:tc>
          <w:tcPr>
            <w:tcW w:w="240" w:type="dxa"/>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tcW w:w="0" w:type="auto"/>
            <w:textDirection w:val="lrTb"/>
            <w:noWrap w:val="false"/>
          </w:tcPr>
          <w:p>
            <w:pPr>
              <w:rPr>
                <w:rFonts w:hint="eastAsia" w:ascii="宋体" w:hAnsi="宋体" w:cs="宋体"/>
                <w:sz w:val="24"/>
                <w:highlight w:val="none"/>
              </w:rPr>
            </w:pPr>
            <w:r>
              <w:rPr>
                <w:rFonts w:hint="eastAsia" w:ascii="宋体" w:hAnsi="宋体" w:cs="宋体"/>
                <w:sz w:val="24"/>
                <w:szCs w:val="24"/>
                <w:highlight w:val="none"/>
                <w:lang w:val="en-US" w:eastAsia="zh-CN"/>
              </w:rPr>
              <w:t xml:space="preserve">阻燃桦木芯多层板</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气味浓度</w:t>
            </w:r>
            <w:r>
              <w:rPr>
                <w:rFonts w:hint="eastAsia" w:ascii="宋体" w:hAnsi="宋体" w:cs="宋体"/>
                <w:sz w:val="24"/>
                <w:szCs w:val="24"/>
                <w:highlight w:val="none"/>
                <w:lang w:val="en-US" w:eastAsia="zh-CN"/>
              </w:rPr>
              <w:t xml:space="preserve">≤200ou/m³；</w:t>
            </w:r>
            <w:r>
              <w:rPr>
                <w:rFonts w:hint="eastAsia" w:ascii="宋体" w:hAnsi="宋体" w:eastAsia="宋体" w:cs="宋体"/>
                <w:sz w:val="24"/>
                <w:szCs w:val="24"/>
                <w:highlight w:val="none"/>
                <w:lang w:val="en-US" w:eastAsia="zh-CN"/>
              </w:rPr>
              <w:t xml:space="preserve">苯酚释放量</w:t>
            </w:r>
            <w:r>
              <w:rPr>
                <w:rFonts w:hint="eastAsia" w:ascii="宋体" w:hAnsi="宋体" w:cs="宋体"/>
                <w:sz w:val="24"/>
                <w:szCs w:val="24"/>
                <w:highlight w:val="none"/>
                <w:lang w:val="en-US" w:eastAsia="zh-CN"/>
              </w:rPr>
              <w:t xml:space="preserve">未检出；静曲强度（顺纹）≥22MPa；</w:t>
            </w:r>
            <w:r>
              <w:rPr>
                <w:rFonts w:hint="eastAsia" w:ascii="宋体" w:hAnsi="宋体" w:eastAsia="宋体" w:cs="宋体"/>
                <w:sz w:val="24"/>
                <w:szCs w:val="24"/>
                <w:highlight w:val="none"/>
                <w:lang w:val="en-US" w:eastAsia="zh-CN"/>
              </w:rPr>
              <w:t xml:space="preserve">醛酮类化合物(羰基类化合物)</w:t>
            </w:r>
            <w:r>
              <w:rPr>
                <w:rFonts w:hint="eastAsia" w:ascii="宋体" w:hAnsi="宋体" w:cs="宋体"/>
                <w:sz w:val="24"/>
                <w:szCs w:val="24"/>
                <w:highlight w:val="none"/>
                <w:lang w:val="en-US" w:eastAsia="zh-CN"/>
              </w:rPr>
              <w:t xml:space="preserve">24h≤1mg/m³；</w:t>
            </w:r>
            <w:r>
              <w:rPr>
                <w:rFonts w:hint="eastAsia" w:ascii="宋体" w:hAnsi="宋体" w:eastAsia="宋体" w:cs="宋体"/>
                <w:sz w:val="24"/>
                <w:szCs w:val="24"/>
                <w:highlight w:val="none"/>
                <w:lang w:val="en-US" w:eastAsia="zh-CN"/>
              </w:rPr>
              <w:t xml:space="preserve">总半挥发性有机化合物释放量</w:t>
            </w:r>
            <w:r>
              <w:rPr>
                <w:rFonts w:hint="eastAsia" w:ascii="宋体" w:hAnsi="宋体" w:cs="宋体"/>
                <w:sz w:val="24"/>
                <w:szCs w:val="24"/>
                <w:highlight w:val="none"/>
                <w:lang w:val="en-US" w:eastAsia="zh-CN"/>
              </w:rPr>
              <w:t xml:space="preserve">未检出</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GB/T42898-2023、GB/T43353-2023、GB/T31762-2015</w:t>
            </w:r>
            <w:r/>
          </w:p>
        </w:tc>
      </w:tr>
      <w:tr>
        <w:trPr/>
        <w:tc>
          <w:tcPr>
            <w:tcW w:w="240" w:type="dxa"/>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tcW w:w="0" w:type="auto"/>
            <w:textDirection w:val="lrTb"/>
            <w:noWrap w:val="false"/>
          </w:tcPr>
          <w:p>
            <w:pPr>
              <w:rPr>
                <w:rFonts w:hint="eastAsia" w:ascii="宋体" w:hAnsi="宋体" w:cs="宋体"/>
                <w:sz w:val="24"/>
                <w:highlight w:val="none"/>
              </w:rPr>
            </w:pPr>
            <w:r>
              <w:rPr>
                <w:rFonts w:hint="eastAsia" w:ascii="宋体" w:hAnsi="宋体" w:cs="宋体"/>
                <w:sz w:val="24"/>
                <w:szCs w:val="24"/>
                <w:highlight w:val="none"/>
                <w:lang w:val="en-US" w:eastAsia="zh-CN" w:bidi="ar-SA"/>
              </w:rPr>
              <w:t xml:space="preserve">阻燃</w:t>
            </w:r>
            <w:r>
              <w:rPr>
                <w:rFonts w:hint="eastAsia" w:ascii="宋体" w:hAnsi="宋体" w:cs="宋体"/>
                <w:sz w:val="24"/>
                <w:szCs w:val="24"/>
                <w:highlight w:val="none"/>
                <w:lang w:val="en-US" w:eastAsia="zh-CN"/>
              </w:rPr>
              <w:t xml:space="preserve">橡胶木直拼板</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eastAsia="zh-CN"/>
              </w:rPr>
              <w:t xml:space="preserve">氨释放量</w:t>
            </w:r>
            <w:r>
              <w:rPr>
                <w:rFonts w:hint="eastAsia" w:ascii="宋体" w:hAnsi="宋体" w:cs="宋体"/>
                <w:sz w:val="24"/>
                <w:szCs w:val="24"/>
                <w:highlight w:val="none"/>
                <w:lang w:val="en-US" w:eastAsia="zh-CN"/>
              </w:rPr>
              <w:t xml:space="preserve">未检出</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抗菌性能(酿脓链球菌)≥99%;气干密度≥0.65g/cm³；抗弯强度≥70MPa；重金属元素含量（铅、镉、铬、汞）未检出；燃烧性能等级B1；乙醛未检出；丙烯醛未检出；甲苯未检出；总挥发性有机化合物未检出；可接触的实木部件中五氯苯酚未检出；有机磷阻燃剂未检出</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eastAsia="zh-CN"/>
              </w:rPr>
              <w:t xml:space="preserve">GB/T36022-2018、GB/T35607-2024、GB/T42996.1-2023</w:t>
            </w:r>
            <w:r/>
          </w:p>
        </w:tc>
      </w:tr>
      <w:tr>
        <w:trPr/>
        <w:tc>
          <w:tcPr>
            <w:shd w:val="clear" w:color="auto" w:fill="ffffff" w:themeFill="background1"/>
            <w:tcW w:w="240" w:type="dxa"/>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shd w:val="clear" w:color="auto" w:fill="ffffff" w:themeFill="background1"/>
            <w:tcW w:w="0" w:type="auto"/>
            <w:textDirection w:val="lrTb"/>
            <w:noWrap w:val="false"/>
          </w:tcPr>
          <w:p>
            <w:pPr>
              <w:rPr>
                <w:rFonts w:hint="eastAsia" w:ascii="宋体" w:hAnsi="宋体" w:cs="宋体"/>
                <w:sz w:val="24"/>
                <w:highlight w:val="none"/>
              </w:rPr>
            </w:pPr>
            <w:r>
              <w:rPr>
                <w:rFonts w:hint="eastAsia" w:ascii="宋体" w:hAnsi="宋体" w:cs="宋体"/>
                <w:sz w:val="24"/>
                <w:szCs w:val="24"/>
                <w:highlight w:val="none"/>
                <w:lang w:val="en-US" w:eastAsia="zh-CN"/>
              </w:rPr>
              <w:t xml:space="preserve">铝合金支撑脚</w:t>
            </w:r>
            <w:r/>
          </w:p>
        </w:tc>
        <w:tc>
          <w:tcPr>
            <w:tcW w:w="0" w:type="auto"/>
            <w:textDirection w:val="lrTb"/>
            <w:noWrap w:val="false"/>
          </w:tcPr>
          <w:p>
            <w:pPr>
              <w:rPr>
                <w:rFonts w:hint="eastAsia" w:ascii="宋体" w:hAnsi="宋体" w:cs="宋体"/>
                <w:sz w:val="24"/>
                <w:highlight w:val="none"/>
              </w:rPr>
            </w:pPr>
            <w:r>
              <w:rPr>
                <w:rFonts w:hint="eastAsia" w:ascii="宋体" w:hAnsi="宋体" w:cs="宋体"/>
                <w:sz w:val="24"/>
                <w:szCs w:val="24"/>
                <w:highlight w:val="none"/>
                <w:lang w:val="en-US" w:eastAsia="zh-CN"/>
              </w:rPr>
              <w:t xml:space="preserve">涂层耐湿（30个循环，240h）无气泡、无剥落、无粉化、无生锈；铜加速乙酸盐雾试验(CASS试验)耐腐蚀等级达到10级</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断后伸长率≥8%；抗拉强度≥160N/m㎡；抑菌率（藤黄微球菌）抑菌率≥99%；耐霉菌性等级（出芽短梗霉）耐霉菌性等级达到0级</w:t>
            </w:r>
            <w:r>
              <w:rPr>
                <w:rFonts w:hint="eastAsia" w:ascii="宋体" w:hAnsi="宋体" w:cs="宋体"/>
                <w:sz w:val="24"/>
                <w:szCs w:val="24"/>
                <w:highlight w:val="none"/>
                <w:lang w:eastAsia="zh-CN"/>
              </w:rPr>
              <w:t xml:space="preserve">；耐液体性（氢氧化钠）24h综合</w:t>
            </w:r>
            <w:r>
              <w:rPr>
                <w:rFonts w:hint="eastAsia" w:ascii="宋体" w:hAnsi="宋体" w:cs="宋体"/>
                <w:sz w:val="24"/>
                <w:szCs w:val="24"/>
                <w:highlight w:val="none"/>
                <w:lang w:val="en-US" w:eastAsia="zh-CN"/>
              </w:rPr>
              <w:t xml:space="preserve">评定等级</w:t>
            </w:r>
            <w:r>
              <w:rPr>
                <w:rFonts w:hint="eastAsia" w:ascii="宋体" w:hAnsi="宋体" w:cs="宋体"/>
                <w:sz w:val="24"/>
                <w:szCs w:val="24"/>
                <w:highlight w:val="none"/>
                <w:lang w:eastAsia="zh-CN"/>
              </w:rPr>
              <w:t xml:space="preserve">0级；人工气候老化120h综合评级0级；可迁移元素（</w:t>
            </w:r>
            <w:r>
              <w:rPr>
                <w:rFonts w:hint="eastAsia" w:ascii="宋体" w:hAnsi="宋体" w:cs="宋体"/>
                <w:sz w:val="24"/>
                <w:szCs w:val="24"/>
                <w:highlight w:val="none"/>
                <w:lang w:val="en-US" w:eastAsia="zh-CN"/>
              </w:rPr>
              <w:t xml:space="preserve">铅、镉、铬、汞、锑、钡、硒、砷</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未检出</w:t>
            </w:r>
            <w:r>
              <w:rPr>
                <w:rFonts w:hint="eastAsia" w:ascii="宋体" w:hAnsi="宋体" w:cs="宋体"/>
                <w:sz w:val="24"/>
                <w:szCs w:val="24"/>
                <w:highlight w:val="none"/>
                <w:lang w:eastAsia="zh-CN"/>
              </w:rPr>
              <w:t xml:space="preserve">；化学成分（</w:t>
            </w:r>
            <w:r>
              <w:rPr>
                <w:rFonts w:hint="eastAsia" w:ascii="宋体" w:hAnsi="宋体" w:cs="宋体"/>
                <w:sz w:val="24"/>
                <w:szCs w:val="24"/>
                <w:highlight w:val="none"/>
                <w:lang w:val="en-US" w:eastAsia="zh-CN"/>
              </w:rPr>
              <w:t xml:space="preserve">Si、Fe、Cu、Mn、Cr</w:t>
            </w:r>
            <w:r>
              <w:rPr>
                <w:rFonts w:hint="eastAsia" w:ascii="宋体" w:hAnsi="宋体" w:cs="宋体"/>
                <w:sz w:val="24"/>
                <w:szCs w:val="24"/>
                <w:highlight w:val="none"/>
                <w:lang w:eastAsia="zh-CN"/>
              </w:rPr>
              <w:t xml:space="preserve">）</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eastAsia="zh-CN"/>
              </w:rPr>
              <w:t xml:space="preserve">QB/T38</w:t>
            </w:r>
            <w:r>
              <w:rPr>
                <w:rFonts w:hint="eastAsia" w:ascii="宋体" w:hAnsi="宋体" w:cs="宋体"/>
                <w:sz w:val="24"/>
                <w:szCs w:val="24"/>
                <w:highlight w:val="none"/>
                <w:lang w:val="en-US" w:eastAsia="zh-CN"/>
              </w:rPr>
              <w:t xml:space="preserve">32</w:t>
            </w:r>
            <w:r>
              <w:rPr>
                <w:rFonts w:hint="eastAsia" w:ascii="宋体" w:hAnsi="宋体" w:eastAsia="宋体" w:cs="宋体"/>
                <w:sz w:val="24"/>
                <w:szCs w:val="24"/>
                <w:highlight w:val="none"/>
                <w:lang w:eastAsia="zh-CN"/>
              </w:rPr>
              <w:t xml:space="preserve">-1999、GB/T10125-2021</w:t>
            </w:r>
            <w:r>
              <w:rPr>
                <w:rFonts w:hint="eastAsia" w:ascii="宋体" w:hAnsi="宋体" w:cs="宋体"/>
                <w:sz w:val="24"/>
                <w:szCs w:val="24"/>
                <w:highlight w:val="none"/>
                <w:lang w:eastAsia="zh-CN"/>
              </w:rPr>
              <w:t xml:space="preserve">、GB/T1741-2020</w:t>
            </w:r>
            <w:r/>
          </w:p>
        </w:tc>
      </w:tr>
      <w:tr>
        <w:trPr/>
        <w:tc>
          <w:tcPr>
            <w:shd w:val="clear" w:color="auto" w:fill="ffffff" w:themeFill="background1"/>
            <w:tcW w:w="240" w:type="dxa"/>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shd w:val="clear" w:color="auto" w:fill="ffffff" w:themeFill="background1"/>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高密度定型阻燃海绵</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色泽</w:t>
            </w:r>
            <w:r>
              <w:rPr>
                <w:rFonts w:hint="eastAsia" w:ascii="宋体" w:hAnsi="宋体" w:cs="宋体"/>
                <w:sz w:val="24"/>
                <w:szCs w:val="24"/>
                <w:highlight w:val="none"/>
                <w:lang w:val="en-US" w:eastAsia="zh-CN"/>
              </w:rPr>
              <w:t xml:space="preserve">颜色均匀</w:t>
            </w:r>
            <w:r>
              <w:rPr>
                <w:rFonts w:hint="eastAsia" w:ascii="宋体" w:hAnsi="宋体" w:eastAsia="宋体" w:cs="宋体"/>
                <w:sz w:val="24"/>
                <w:szCs w:val="24"/>
                <w:highlight w:val="none"/>
                <w:lang w:val="en-US" w:eastAsia="zh-CN"/>
              </w:rPr>
              <w:t xml:space="preserve">；气孔直径-对穿孔</w:t>
            </w:r>
            <w:r>
              <w:rPr>
                <w:rFonts w:hint="eastAsia" w:ascii="宋体" w:hAnsi="宋体" w:cs="宋体"/>
                <w:sz w:val="24"/>
                <w:szCs w:val="24"/>
                <w:highlight w:val="none"/>
                <w:lang w:val="en-US" w:eastAsia="zh-CN"/>
              </w:rPr>
              <w:t xml:space="preserve">≤6mm</w:t>
            </w:r>
            <w:r>
              <w:rPr>
                <w:rFonts w:hint="eastAsia" w:ascii="宋体" w:hAnsi="宋体" w:eastAsia="宋体" w:cs="宋体"/>
                <w:sz w:val="24"/>
                <w:szCs w:val="24"/>
                <w:highlight w:val="none"/>
                <w:lang w:val="en-US" w:eastAsia="zh-CN"/>
              </w:rPr>
              <w:t xml:space="preserve">；气孔直径-气孔</w:t>
            </w:r>
            <w:r>
              <w:rPr>
                <w:rFonts w:hint="eastAsia" w:ascii="宋体" w:hAnsi="宋体" w:cs="宋体"/>
                <w:sz w:val="24"/>
                <w:szCs w:val="24"/>
                <w:highlight w:val="none"/>
                <w:lang w:val="en-US" w:eastAsia="zh-CN"/>
              </w:rPr>
              <w:t xml:space="preserve">≤10mm</w:t>
            </w:r>
            <w:r>
              <w:rPr>
                <w:rFonts w:hint="eastAsia" w:ascii="宋体" w:hAnsi="宋体" w:eastAsia="宋体" w:cs="宋体"/>
                <w:sz w:val="24"/>
                <w:szCs w:val="24"/>
                <w:highlight w:val="none"/>
                <w:lang w:val="en-US" w:eastAsia="zh-CN"/>
              </w:rPr>
              <w:t xml:space="preserve">；污染</w:t>
            </w:r>
            <w:r>
              <w:rPr>
                <w:rFonts w:hint="eastAsia" w:ascii="宋体" w:hAnsi="宋体" w:cs="宋体"/>
                <w:sz w:val="24"/>
                <w:szCs w:val="24"/>
                <w:highlight w:val="none"/>
                <w:lang w:val="en-US" w:eastAsia="zh-CN"/>
              </w:rPr>
              <w:t xml:space="preserve">不应有明显污染</w:t>
            </w:r>
            <w:r>
              <w:rPr>
                <w:rFonts w:hint="eastAsia" w:ascii="宋体" w:hAnsi="宋体" w:eastAsia="宋体" w:cs="宋体"/>
                <w:sz w:val="24"/>
                <w:szCs w:val="24"/>
                <w:highlight w:val="none"/>
                <w:lang w:val="en-US" w:eastAsia="zh-CN"/>
              </w:rPr>
              <w:t xml:space="preserve">；气味</w:t>
            </w:r>
            <w:r>
              <w:rPr>
                <w:rFonts w:hint="eastAsia" w:ascii="宋体" w:hAnsi="宋体" w:cs="宋体"/>
                <w:sz w:val="24"/>
                <w:szCs w:val="24"/>
                <w:highlight w:val="none"/>
                <w:lang w:val="en-US" w:eastAsia="zh-CN"/>
              </w:rPr>
              <w:t xml:space="preserve">无刺激性气味</w:t>
            </w:r>
            <w:r>
              <w:rPr>
                <w:rFonts w:hint="eastAsia" w:ascii="宋体" w:hAnsi="宋体" w:eastAsia="宋体" w:cs="宋体"/>
                <w:sz w:val="24"/>
                <w:szCs w:val="24"/>
                <w:highlight w:val="none"/>
                <w:lang w:val="en-US" w:eastAsia="zh-CN"/>
              </w:rPr>
              <w:t xml:space="preserve">；回弹率-等级(245N)；拉伸强度-等级(245N)；干热老化后拉伸强度-等级(245N)；湿热老化后拉伸强度-等级(245N)；密度</w:t>
            </w:r>
            <w:r>
              <w:rPr>
                <w:rFonts w:hint="eastAsia" w:ascii="宋体" w:hAnsi="宋体" w:cs="宋体"/>
                <w:sz w:val="24"/>
                <w:szCs w:val="24"/>
                <w:highlight w:val="none"/>
                <w:lang w:val="en-US" w:eastAsia="zh-CN"/>
              </w:rPr>
              <w:t xml:space="preserve">≥18kg/m³</w:t>
            </w:r>
            <w:r>
              <w:rPr>
                <w:rFonts w:hint="eastAsia" w:ascii="宋体" w:hAnsi="宋体" w:eastAsia="宋体" w:cs="宋体"/>
                <w:sz w:val="24"/>
                <w:szCs w:val="24"/>
                <w:highlight w:val="none"/>
                <w:lang w:val="en-US" w:eastAsia="zh-CN"/>
              </w:rPr>
              <w:t xml:space="preserve">；阻燃1级</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GB/T10802-2006、QB/T2280-2016</w:t>
            </w:r>
            <w:r/>
          </w:p>
        </w:tc>
      </w:tr>
      <w:tr>
        <w:trPr/>
        <w:tc>
          <w:tcPr>
            <w:tcW w:w="240" w:type="dxa"/>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防火阻燃麻绒布料</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甲醛含量</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；PH</w:t>
            </w:r>
            <w:r>
              <w:rPr>
                <w:rFonts w:hint="eastAsia" w:ascii="宋体" w:hAnsi="宋体" w:cs="宋体"/>
                <w:sz w:val="24"/>
                <w:szCs w:val="24"/>
                <w:highlight w:val="none"/>
                <w:lang w:val="en-US" w:eastAsia="zh-CN"/>
              </w:rPr>
              <w:t xml:space="preserve">值</w:t>
            </w:r>
            <w:r>
              <w:rPr>
                <w:rFonts w:hint="eastAsia" w:ascii="宋体" w:hAnsi="宋体" w:eastAsia="宋体" w:cs="宋体"/>
                <w:sz w:val="24"/>
                <w:szCs w:val="24"/>
                <w:highlight w:val="none"/>
                <w:lang w:val="en-US" w:eastAsia="zh-CN"/>
              </w:rPr>
              <w:t xml:space="preserve">；耐水（变色、沾色）</w:t>
            </w:r>
            <w:r>
              <w:rPr>
                <w:rFonts w:hint="eastAsia" w:ascii="宋体" w:hAnsi="宋体" w:cs="宋体"/>
                <w:sz w:val="24"/>
                <w:szCs w:val="24"/>
                <w:highlight w:val="none"/>
                <w:lang w:val="en-US" w:eastAsia="zh-CN"/>
              </w:rPr>
              <w:t xml:space="preserve">≥3-4</w:t>
            </w:r>
            <w:r>
              <w:rPr>
                <w:rFonts w:hint="eastAsia" w:ascii="宋体" w:hAnsi="宋体" w:eastAsia="宋体" w:cs="宋体"/>
                <w:sz w:val="24"/>
                <w:szCs w:val="24"/>
                <w:highlight w:val="none"/>
                <w:lang w:val="en-US" w:eastAsia="zh-CN"/>
              </w:rPr>
              <w:t xml:space="preserve">；耐酸汗渍（变色、沾色）</w:t>
            </w:r>
            <w:r>
              <w:rPr>
                <w:rFonts w:hint="eastAsia" w:ascii="宋体" w:hAnsi="宋体" w:cs="宋体"/>
                <w:sz w:val="24"/>
                <w:szCs w:val="24"/>
                <w:highlight w:val="none"/>
                <w:lang w:val="en-US" w:eastAsia="zh-CN"/>
              </w:rPr>
              <w:t xml:space="preserve">≥3-4</w:t>
            </w:r>
            <w:r>
              <w:rPr>
                <w:rFonts w:hint="eastAsia" w:ascii="宋体" w:hAnsi="宋体" w:eastAsia="宋体" w:cs="宋体"/>
                <w:sz w:val="24"/>
                <w:szCs w:val="24"/>
                <w:highlight w:val="none"/>
                <w:lang w:val="en-US" w:eastAsia="zh-CN"/>
              </w:rPr>
              <w:t xml:space="preserve">；耐碱汗渍（变色、沾色）</w:t>
            </w:r>
            <w:r>
              <w:rPr>
                <w:rFonts w:hint="eastAsia" w:ascii="宋体" w:hAnsi="宋体" w:cs="宋体"/>
                <w:sz w:val="24"/>
                <w:szCs w:val="24"/>
                <w:highlight w:val="none"/>
                <w:lang w:val="en-US" w:eastAsia="zh-CN"/>
              </w:rPr>
              <w:t xml:space="preserve">≥3-4</w:t>
            </w:r>
            <w:r>
              <w:rPr>
                <w:rFonts w:hint="eastAsia" w:ascii="宋体" w:hAnsi="宋体" w:eastAsia="宋体" w:cs="宋体"/>
                <w:sz w:val="24"/>
                <w:szCs w:val="24"/>
                <w:highlight w:val="none"/>
                <w:lang w:val="en-US" w:eastAsia="zh-CN"/>
              </w:rPr>
              <w:t xml:space="preserve">；耐干摩擦</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；耐唾液（变色、沾色）</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；异味</w:t>
            </w:r>
            <w:r>
              <w:rPr>
                <w:rFonts w:hint="eastAsia" w:ascii="宋体" w:hAnsi="宋体" w:cs="宋体"/>
                <w:sz w:val="24"/>
                <w:szCs w:val="24"/>
                <w:highlight w:val="none"/>
                <w:lang w:val="en-US" w:eastAsia="zh-CN"/>
              </w:rPr>
              <w:t xml:space="preserve">（无）符合</w:t>
            </w:r>
            <w:r>
              <w:rPr>
                <w:rFonts w:hint="eastAsia" w:ascii="宋体" w:hAnsi="宋体" w:eastAsia="宋体" w:cs="宋体"/>
                <w:sz w:val="24"/>
                <w:szCs w:val="24"/>
                <w:highlight w:val="none"/>
                <w:lang w:val="en-US" w:eastAsia="zh-CN"/>
              </w:rPr>
              <w:t xml:space="preserve">；可分解致癌芳香胺染料</w:t>
            </w:r>
            <w:r>
              <w:rPr>
                <w:rFonts w:hint="eastAsia" w:ascii="宋体" w:hAnsi="宋体" w:cs="宋体"/>
                <w:sz w:val="24"/>
                <w:szCs w:val="24"/>
                <w:highlight w:val="none"/>
                <w:lang w:val="en-US" w:eastAsia="zh-CN"/>
              </w:rPr>
              <w:t xml:space="preserve">未检出</w:t>
            </w:r>
            <w:r>
              <w:rPr>
                <w:rFonts w:hint="eastAsia" w:ascii="宋体" w:hAnsi="宋体" w:eastAsia="宋体" w:cs="宋体"/>
                <w:sz w:val="24"/>
                <w:szCs w:val="24"/>
                <w:highlight w:val="none"/>
                <w:lang w:val="en-US" w:eastAsia="zh-CN"/>
              </w:rPr>
              <w:t xml:space="preserve">；可萃取重金属铅、镉、铬、六价铬</w:t>
            </w:r>
            <w:r>
              <w:rPr>
                <w:rFonts w:hint="eastAsia" w:ascii="宋体" w:hAnsi="宋体" w:cs="宋体"/>
                <w:sz w:val="24"/>
                <w:szCs w:val="24"/>
                <w:highlight w:val="none"/>
                <w:lang w:val="en-US" w:eastAsia="zh-CN"/>
              </w:rPr>
              <w:t xml:space="preserve">未检出</w:t>
            </w:r>
            <w:r>
              <w:rPr>
                <w:rFonts w:hint="eastAsia" w:ascii="宋体" w:hAnsi="宋体" w:eastAsia="宋体" w:cs="宋体"/>
                <w:sz w:val="24"/>
                <w:szCs w:val="24"/>
                <w:highlight w:val="none"/>
                <w:lang w:val="en-US" w:eastAsia="zh-CN"/>
              </w:rPr>
              <w:t xml:space="preserve">；模拟火柴火焰抗引燃性试验符合</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GB/T18885-2020</w:t>
            </w:r>
            <w:r/>
          </w:p>
        </w:tc>
      </w:tr>
      <w:tr>
        <w:trPr/>
        <w:tc>
          <w:tcPr>
            <w:tcW w:w="240" w:type="dxa"/>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tcW w:w="0" w:type="auto"/>
            <w:textDirection w:val="lrTb"/>
            <w:noWrap w:val="false"/>
          </w:tcPr>
          <w:p>
            <w:pPr>
              <w:rPr>
                <w:rFonts w:hint="eastAsia" w:ascii="宋体" w:hAnsi="宋体" w:cs="宋体"/>
                <w:sz w:val="24"/>
                <w:highlight w:val="none"/>
              </w:rPr>
            </w:pPr>
            <w:r>
              <w:rPr>
                <w:rFonts w:hint="eastAsia" w:ascii="宋体" w:hAnsi="宋体" w:cs="宋体"/>
                <w:sz w:val="24"/>
                <w:szCs w:val="24"/>
                <w:highlight w:val="none"/>
                <w:lang w:val="en-US" w:eastAsia="zh-CN"/>
              </w:rPr>
              <w:t xml:space="preserve">阻燃</w:t>
            </w:r>
            <w:r>
              <w:rPr>
                <w:rFonts w:hint="eastAsia" w:ascii="宋体" w:hAnsi="宋体" w:eastAsia="宋体" w:cs="宋体"/>
                <w:sz w:val="24"/>
                <w:szCs w:val="24"/>
                <w:highlight w:val="none"/>
                <w:lang w:val="en-US" w:eastAsia="zh-CN"/>
              </w:rPr>
              <w:t xml:space="preserve">304不锈钢</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电镀层</w:t>
            </w:r>
            <w:r>
              <w:rPr>
                <w:rFonts w:hint="eastAsia" w:ascii="宋体" w:hAnsi="宋体" w:cs="宋体"/>
                <w:sz w:val="24"/>
                <w:szCs w:val="24"/>
                <w:highlight w:val="none"/>
                <w:lang w:val="en-US" w:eastAsia="zh-CN"/>
              </w:rPr>
              <w:t xml:space="preserve">表面无剥落、返锈、毛刺</w:t>
            </w:r>
            <w:r>
              <w:rPr>
                <w:rFonts w:hint="eastAsia" w:ascii="宋体" w:hAnsi="宋体" w:eastAsia="宋体" w:cs="宋体"/>
                <w:sz w:val="24"/>
                <w:szCs w:val="24"/>
                <w:highlight w:val="none"/>
                <w:lang w:val="en-US" w:eastAsia="zh-CN"/>
              </w:rPr>
              <w:t xml:space="preserve">；金属化学成分分析</w:t>
            </w:r>
            <w:r>
              <w:rPr>
                <w:rFonts w:hint="eastAsia" w:ascii="宋体" w:hAnsi="宋体" w:cs="宋体"/>
                <w:sz w:val="24"/>
                <w:szCs w:val="24"/>
                <w:highlight w:val="none"/>
                <w:lang w:val="en-US" w:eastAsia="zh-CN"/>
              </w:rPr>
              <w:t xml:space="preserve">（碳、硅、锰、磷）</w:t>
            </w:r>
            <w:r>
              <w:rPr>
                <w:rFonts w:hint="eastAsia" w:ascii="宋体" w:hAnsi="宋体" w:eastAsia="宋体" w:cs="宋体"/>
                <w:sz w:val="24"/>
                <w:szCs w:val="24"/>
                <w:highlight w:val="none"/>
                <w:lang w:val="en-US" w:eastAsia="zh-CN"/>
              </w:rPr>
              <w:t xml:space="preserve">；金属拉伸性能试验（</w:t>
            </w:r>
            <w:r>
              <w:rPr>
                <w:rFonts w:hint="eastAsia" w:ascii="宋体" w:hAnsi="宋体" w:cs="宋体"/>
                <w:sz w:val="24"/>
                <w:szCs w:val="24"/>
                <w:highlight w:val="none"/>
                <w:lang w:val="en-US" w:eastAsia="zh-CN"/>
              </w:rPr>
              <w:t xml:space="preserve">抗拉</w:t>
            </w:r>
            <w:r>
              <w:rPr>
                <w:rFonts w:hint="eastAsia" w:ascii="宋体" w:hAnsi="宋体" w:eastAsia="宋体" w:cs="宋体"/>
                <w:sz w:val="24"/>
                <w:szCs w:val="24"/>
                <w:highlight w:val="none"/>
                <w:lang w:val="en-US" w:eastAsia="zh-CN"/>
              </w:rPr>
              <w:t xml:space="preserve">强度、断后伸长率、下屈服强度）；维氏</w:t>
            </w:r>
            <w:r>
              <w:rPr>
                <w:rFonts w:hint="eastAsia" w:ascii="宋体" w:hAnsi="宋体" w:cs="宋体"/>
                <w:sz w:val="24"/>
                <w:szCs w:val="24"/>
                <w:highlight w:val="none"/>
                <w:lang w:val="en-US" w:eastAsia="zh-CN"/>
              </w:rPr>
              <w:t xml:space="preserve">硬度≤210</w:t>
            </w:r>
            <w:r>
              <w:rPr>
                <w:rFonts w:hint="eastAsia" w:ascii="宋体" w:hAnsi="宋体" w:eastAsia="宋体" w:cs="宋体"/>
                <w:sz w:val="24"/>
                <w:szCs w:val="24"/>
                <w:highlight w:val="none"/>
                <w:lang w:val="en-US" w:eastAsia="zh-CN"/>
              </w:rPr>
              <w:t xml:space="preserve">；阻燃A1；</w:t>
            </w:r>
            <w:r>
              <w:rPr>
                <w:rFonts w:hint="eastAsia" w:ascii="宋体" w:hAnsi="宋体" w:cs="宋体"/>
                <w:sz w:val="24"/>
                <w:szCs w:val="24"/>
                <w:highlight w:val="none"/>
                <w:lang w:val="en-US" w:eastAsia="zh-CN"/>
              </w:rPr>
              <w:t xml:space="preserve">乙酸盐雾试验（18h），保护评价10级；铜加速乙酸盐雾试验（18h），保护评价10级</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GB/T3325-2017、GB/T6461-2002、GB/T3280-2015</w:t>
            </w:r>
            <w:r/>
          </w:p>
        </w:tc>
      </w:tr>
      <w:tr>
        <w:trPr/>
        <w:tc>
          <w:tcPr>
            <w:tcW w:w="240" w:type="dxa"/>
            <w:vAlign w:val="top"/>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tcW w:w="0" w:type="auto"/>
            <w:vAlign w:val="top"/>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阻燃</w:t>
            </w:r>
            <w:r>
              <w:rPr>
                <w:rFonts w:hint="eastAsia" w:ascii="宋体" w:hAnsi="宋体" w:cs="宋体"/>
                <w:sz w:val="24"/>
                <w:szCs w:val="24"/>
                <w:highlight w:val="none"/>
                <w:lang w:val="en-US" w:eastAsia="zh-CN" w:bidi="ar-SA"/>
              </w:rPr>
              <w:t xml:space="preserve">双</w:t>
            </w:r>
            <w:r>
              <w:rPr>
                <w:rFonts w:hint="eastAsia" w:ascii="宋体" w:hAnsi="宋体" w:eastAsia="宋体" w:cs="宋体"/>
                <w:sz w:val="24"/>
                <w:szCs w:val="24"/>
                <w:highlight w:val="none"/>
                <w:lang w:val="en-US" w:eastAsia="zh-CN" w:bidi="ar-SA"/>
              </w:rPr>
              <w:t xml:space="preserve">饰面刨花板</w:t>
            </w:r>
            <w:r/>
          </w:p>
        </w:tc>
        <w:tc>
          <w:tcPr>
            <w:tcW w:w="0" w:type="auto"/>
            <w:vAlign w:val="top"/>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eastAsia="zh-CN"/>
              </w:rPr>
              <w:t xml:space="preserve">含水率</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表面耐冷热循环</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甲醛释放量</w:t>
            </w:r>
            <w:r>
              <w:rPr>
                <w:rFonts w:hint="eastAsia" w:ascii="宋体" w:hAnsi="宋体" w:cs="宋体"/>
                <w:b w:val="0"/>
                <w:bCs w:val="0"/>
                <w:sz w:val="24"/>
                <w:szCs w:val="24"/>
                <w:highlight w:val="none"/>
                <w:lang w:val="en-US" w:eastAsia="zh-CN"/>
              </w:rPr>
              <w:t xml:space="preserve">未检出</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总挥发性有机化合（TVOC）</w:t>
            </w:r>
            <w:r>
              <w:rPr>
                <w:rFonts w:hint="eastAsia" w:ascii="宋体" w:hAnsi="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、苯、甲苯、二甲苯</w:t>
            </w:r>
            <w:r>
              <w:rPr>
                <w:rFonts w:hint="eastAsia" w:ascii="宋体" w:hAnsi="宋体" w:cs="宋体"/>
                <w:b w:val="0"/>
                <w:bCs w:val="0"/>
                <w:sz w:val="24"/>
                <w:szCs w:val="24"/>
                <w:highlight w:val="none"/>
                <w:lang w:val="en-US" w:eastAsia="zh-CN"/>
              </w:rPr>
              <w:t xml:space="preserve">未检出</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气味</w:t>
            </w:r>
            <w:r>
              <w:rPr>
                <w:rFonts w:hint="eastAsia" w:ascii="宋体" w:hAnsi="宋体" w:cs="宋体"/>
                <w:b w:val="0"/>
                <w:bCs w:val="0"/>
                <w:sz w:val="24"/>
                <w:szCs w:val="24"/>
                <w:highlight w:val="none"/>
                <w:lang w:val="en-US" w:eastAsia="zh-CN"/>
              </w:rPr>
              <w:t xml:space="preserve">等级0级</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醛酮类化合物</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氨释放量</w:t>
            </w:r>
            <w:r>
              <w:rPr>
                <w:rFonts w:hint="eastAsia" w:ascii="宋体" w:hAnsi="宋体" w:cs="宋体"/>
                <w:b w:val="0"/>
                <w:bCs w:val="0"/>
                <w:sz w:val="24"/>
                <w:szCs w:val="24"/>
                <w:highlight w:val="none"/>
                <w:lang w:val="en-US" w:eastAsia="zh-CN"/>
              </w:rPr>
              <w:t xml:space="preserve">未检出</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燃烧性能</w:t>
            </w:r>
            <w:r>
              <w:rPr>
                <w:rFonts w:hint="eastAsia" w:ascii="宋体" w:hAnsi="宋体" w:eastAsia="宋体" w:cs="宋体"/>
                <w:b w:val="0"/>
                <w:bCs w:val="0"/>
                <w:sz w:val="24"/>
                <w:szCs w:val="24"/>
                <w:highlight w:val="none"/>
                <w:lang w:val="en-US" w:eastAsia="zh-CN"/>
              </w:rPr>
              <w:t xml:space="preserve">B1</w:t>
            </w:r>
            <w:r/>
          </w:p>
        </w:tc>
        <w:tc>
          <w:tcPr>
            <w:tcW w:w="0" w:type="auto"/>
            <w:vAlign w:val="top"/>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GB/T15102-2017、GB/T39600-2024、GB/T35601-2024</w:t>
            </w:r>
            <w:r/>
          </w:p>
        </w:tc>
      </w:tr>
      <w:tr>
        <w:trPr/>
        <w:tc>
          <w:tcPr>
            <w:tcW w:w="240" w:type="dxa"/>
            <w:vAlign w:val="top"/>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tcW w:w="0" w:type="auto"/>
            <w:vAlign w:val="top"/>
            <w:textDirection w:val="lrTb"/>
            <w:noWrap w:val="false"/>
          </w:tcPr>
          <w:p>
            <w:pPr>
              <w:rPr>
                <w:rFonts w:hint="eastAsia" w:ascii="宋体" w:hAnsi="宋体" w:eastAsia="宋体" w:cs="宋体"/>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阻燃尼龙塑料</w:t>
            </w:r>
            <w:r/>
          </w:p>
        </w:tc>
        <w:tc>
          <w:tcPr>
            <w:tcW w:w="0" w:type="auto"/>
            <w:vAlign w:val="top"/>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耐老化性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≥400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h</w:t>
            </w:r>
            <w:r>
              <w:rPr>
                <w:rFonts w:hint="eastAsia" w:ascii="宋体" w:hAnsi="宋体" w:cs="宋体"/>
                <w:color w:val="000000" w:themeColor="text1"/>
                <w:sz w:val="24"/>
                <w:szCs w:val="24"/>
                <w:highlight w:val="none"/>
                <w:lang w:val="en-US" w:eastAsia="zh-CN"/>
                <w14:textFill>
                  <w14:solidFill>
                    <w14:schemeClr w14:val="tx1"/>
                  </w14:solidFill>
                </w14:textFill>
              </w:rPr>
              <w:t xml:space="preserve">；冲击强度；维卡软化温度；负荷变形温度；脆化温度；熔体质量流动速率</w:t>
            </w:r>
            <w:r/>
          </w:p>
        </w:tc>
        <w:tc>
          <w:tcPr>
            <w:tcW w:w="0" w:type="auto"/>
            <w:vAlign w:val="top"/>
            <w:textDirection w:val="lrTb"/>
            <w:noWrap w:val="false"/>
          </w:tcPr>
          <w:p>
            <w:pPr>
              <w:rPr>
                <w:rFonts w:hint="eastAsia" w:ascii="宋体" w:hAnsi="宋体" w:eastAsia="宋体" w:cs="宋体"/>
                <w:sz w:val="24"/>
                <w:szCs w:val="24"/>
                <w:highlight w:val="none"/>
                <w:lang w:val="en-US" w:eastAsia="zh-CN"/>
              </w:rPr>
            </w:pPr>
            <w:r>
              <w:rPr>
                <w:rFonts w:hint="eastAsia" w:ascii="宋体" w:hAnsi="宋体" w:cs="宋体"/>
                <w:sz w:val="24"/>
                <w:highlight w:val="none"/>
                <w:lang w:eastAsia="zh-CN"/>
              </w:rPr>
              <w:t xml:space="preserve">GB/T32487-2016、GB/T1633-2000、GB/T 1634.1-2019</w:t>
            </w:r>
            <w:r/>
          </w:p>
        </w:tc>
      </w:tr>
      <w:tr>
        <w:trPr/>
        <w:tc>
          <w:tcPr>
            <w:tcW w:w="240" w:type="dxa"/>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阻燃实芯理化板</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氨释放量</w:t>
            </w:r>
            <w:r>
              <w:rPr>
                <w:rFonts w:hint="eastAsia" w:ascii="宋体" w:hAnsi="宋体" w:cs="宋体"/>
                <w:sz w:val="24"/>
                <w:szCs w:val="24"/>
                <w:highlight w:val="none"/>
                <w:lang w:val="en-US" w:eastAsia="zh-CN"/>
              </w:rPr>
              <w:t xml:space="preserve">未检出</w:t>
            </w:r>
            <w:r>
              <w:rPr>
                <w:rFonts w:hint="eastAsia" w:ascii="宋体" w:hAnsi="宋体" w:eastAsia="宋体" w:cs="宋体"/>
                <w:sz w:val="24"/>
                <w:szCs w:val="24"/>
                <w:highlight w:val="none"/>
                <w:lang w:val="en-US" w:eastAsia="zh-CN"/>
              </w:rPr>
              <w:t xml:space="preserve">；抗菌性能（大肠埃希氏菌）</w:t>
            </w:r>
            <w:r>
              <w:rPr>
                <w:rFonts w:hint="eastAsia" w:ascii="宋体" w:hAnsi="宋体" w:cs="宋体"/>
                <w:sz w:val="24"/>
                <w:szCs w:val="24"/>
                <w:highlight w:val="none"/>
                <w:lang w:val="en-US" w:eastAsia="zh-CN"/>
              </w:rPr>
              <w:t xml:space="preserve">抑菌率≥99%</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防霉菌等级</w:t>
            </w:r>
            <w:r>
              <w:rPr>
                <w:rFonts w:hint="eastAsia" w:ascii="宋体" w:hAnsi="宋体" w:eastAsia="宋体" w:cs="宋体"/>
                <w:sz w:val="24"/>
                <w:szCs w:val="24"/>
                <w:highlight w:val="none"/>
                <w:lang w:val="en-US" w:eastAsia="zh-CN"/>
              </w:rPr>
              <w:t xml:space="preserve">（黑曲霉）</w:t>
            </w:r>
            <w:r>
              <w:rPr>
                <w:rFonts w:hint="eastAsia" w:ascii="宋体" w:hAnsi="宋体" w:cs="宋体"/>
                <w:sz w:val="24"/>
                <w:szCs w:val="24"/>
                <w:highlight w:val="none"/>
                <w:lang w:val="en-US" w:eastAsia="zh-CN"/>
              </w:rPr>
              <w:t xml:space="preserve">0级</w:t>
            </w:r>
            <w:r>
              <w:rPr>
                <w:rFonts w:hint="eastAsia" w:ascii="宋体" w:hAnsi="宋体" w:eastAsia="宋体" w:cs="宋体"/>
                <w:sz w:val="24"/>
                <w:szCs w:val="24"/>
                <w:highlight w:val="none"/>
                <w:lang w:val="en-US" w:eastAsia="zh-CN"/>
              </w:rPr>
              <w:t xml:space="preserve">；气味分级</w:t>
            </w:r>
            <w:r>
              <w:rPr>
                <w:rFonts w:hint="eastAsia" w:ascii="宋体" w:hAnsi="宋体" w:cs="宋体"/>
                <w:sz w:val="24"/>
                <w:szCs w:val="24"/>
                <w:highlight w:val="none"/>
                <w:lang w:val="en-US" w:eastAsia="zh-CN"/>
              </w:rPr>
              <w:t xml:space="preserve">≥1级</w:t>
            </w:r>
            <w:r>
              <w:rPr>
                <w:rFonts w:hint="eastAsia" w:ascii="宋体" w:hAnsi="宋体" w:eastAsia="宋体" w:cs="宋体"/>
                <w:sz w:val="24"/>
                <w:szCs w:val="24"/>
                <w:highlight w:val="none"/>
                <w:lang w:val="en-US" w:eastAsia="zh-CN"/>
              </w:rPr>
              <w:t xml:space="preserve">；甲醛释放量</w:t>
            </w:r>
            <w:r>
              <w:rPr>
                <w:rFonts w:hint="eastAsia" w:ascii="宋体" w:hAnsi="宋体" w:cs="宋体"/>
                <w:sz w:val="24"/>
                <w:szCs w:val="24"/>
                <w:highlight w:val="none"/>
                <w:lang w:val="en-US" w:eastAsia="zh-CN"/>
              </w:rPr>
              <w:t xml:space="preserve">≤1.5mg/L</w:t>
            </w:r>
            <w:r>
              <w:rPr>
                <w:rFonts w:hint="eastAsia" w:ascii="宋体" w:hAnsi="宋体" w:eastAsia="宋体" w:cs="宋体"/>
                <w:sz w:val="24"/>
                <w:szCs w:val="24"/>
                <w:highlight w:val="none"/>
                <w:lang w:val="en-US" w:eastAsia="zh-CN"/>
              </w:rPr>
              <w:t xml:space="preserve">；耐高温性</w:t>
            </w:r>
            <w:r>
              <w:rPr>
                <w:rFonts w:hint="eastAsia" w:ascii="宋体" w:hAnsi="宋体" w:cs="宋体"/>
                <w:sz w:val="24"/>
                <w:szCs w:val="24"/>
                <w:highlight w:val="none"/>
                <w:lang w:val="en-US" w:eastAsia="zh-CN"/>
              </w:rPr>
              <w:t xml:space="preserve">能无裂纹</w:t>
            </w:r>
            <w:r>
              <w:rPr>
                <w:rFonts w:hint="eastAsia" w:ascii="宋体" w:hAnsi="宋体" w:eastAsia="宋体" w:cs="宋体"/>
                <w:sz w:val="24"/>
                <w:szCs w:val="24"/>
                <w:highlight w:val="none"/>
                <w:lang w:val="en-US" w:eastAsia="zh-CN"/>
              </w:rPr>
              <w:t xml:space="preserve">；表面耐</w:t>
            </w:r>
            <w:r>
              <w:rPr>
                <w:rFonts w:hint="eastAsia" w:ascii="宋体" w:hAnsi="宋体" w:cs="宋体"/>
                <w:sz w:val="24"/>
                <w:szCs w:val="24"/>
                <w:highlight w:val="none"/>
                <w:lang w:val="en-US" w:eastAsia="zh-CN"/>
              </w:rPr>
              <w:t xml:space="preserve">水蒸气</w:t>
            </w:r>
            <w:r>
              <w:rPr>
                <w:rFonts w:hint="eastAsia" w:ascii="宋体" w:hAnsi="宋体" w:eastAsia="宋体" w:cs="宋体"/>
                <w:sz w:val="24"/>
                <w:szCs w:val="24"/>
                <w:highlight w:val="none"/>
                <w:lang w:val="en-US" w:eastAsia="zh-CN"/>
              </w:rPr>
              <w:t xml:space="preserve">性能</w:t>
            </w:r>
            <w:r>
              <w:rPr>
                <w:rFonts w:hint="eastAsia" w:ascii="宋体" w:hAnsi="宋体" w:cs="宋体"/>
                <w:sz w:val="24"/>
                <w:szCs w:val="24"/>
                <w:highlight w:val="none"/>
                <w:lang w:val="en-US" w:eastAsia="zh-CN"/>
              </w:rPr>
              <w:t xml:space="preserve">≥4级</w:t>
            </w:r>
            <w:r>
              <w:rPr>
                <w:rFonts w:hint="eastAsia" w:ascii="宋体" w:hAnsi="宋体" w:eastAsia="宋体" w:cs="宋体"/>
                <w:sz w:val="24"/>
                <w:szCs w:val="24"/>
                <w:highlight w:val="none"/>
                <w:lang w:val="en-US" w:eastAsia="zh-CN"/>
              </w:rPr>
              <w:t xml:space="preserve">；表面耐龟裂性能</w:t>
            </w:r>
            <w:r>
              <w:rPr>
                <w:rFonts w:hint="eastAsia" w:ascii="宋体" w:hAnsi="宋体" w:cs="宋体"/>
                <w:sz w:val="24"/>
                <w:szCs w:val="24"/>
                <w:highlight w:val="none"/>
                <w:lang w:val="en-US" w:eastAsia="zh-CN"/>
              </w:rPr>
              <w:t xml:space="preserve">≥4级</w:t>
            </w:r>
            <w:r>
              <w:rPr>
                <w:rFonts w:hint="eastAsia" w:ascii="宋体" w:hAnsi="宋体" w:eastAsia="宋体" w:cs="宋体"/>
                <w:sz w:val="24"/>
                <w:szCs w:val="24"/>
                <w:highlight w:val="none"/>
                <w:lang w:val="en-US" w:eastAsia="zh-CN"/>
              </w:rPr>
              <w:t xml:space="preserve">；表面耐</w:t>
            </w:r>
            <w:r>
              <w:rPr>
                <w:rFonts w:hint="eastAsia" w:ascii="宋体" w:hAnsi="宋体" w:cs="宋体"/>
                <w:sz w:val="24"/>
                <w:szCs w:val="24"/>
                <w:highlight w:val="none"/>
                <w:lang w:val="en-US" w:eastAsia="zh-CN"/>
              </w:rPr>
              <w:t xml:space="preserve">划痕性能≥4级</w:t>
            </w:r>
            <w:r>
              <w:rPr>
                <w:rFonts w:hint="eastAsia" w:ascii="宋体" w:hAnsi="宋体" w:eastAsia="宋体" w:cs="宋体"/>
                <w:sz w:val="24"/>
                <w:szCs w:val="24"/>
                <w:highlight w:val="none"/>
                <w:lang w:val="en-US" w:eastAsia="zh-CN"/>
              </w:rPr>
              <w:t xml:space="preserve">；磨耗值</w:t>
            </w:r>
            <w:r>
              <w:rPr>
                <w:rFonts w:hint="eastAsia" w:ascii="宋体" w:hAnsi="宋体" w:cs="宋体"/>
                <w:sz w:val="24"/>
                <w:szCs w:val="24"/>
                <w:highlight w:val="none"/>
                <w:lang w:val="en-US" w:eastAsia="zh-CN"/>
              </w:rPr>
              <w:t xml:space="preserve">≤50</w:t>
            </w:r>
            <w:r>
              <w:rPr>
                <w:rFonts w:hint="eastAsia" w:ascii="宋体" w:hAnsi="宋体" w:eastAsia="宋体" w:cs="宋体"/>
                <w:sz w:val="24"/>
                <w:szCs w:val="24"/>
                <w:highlight w:val="none"/>
                <w:lang w:val="en-US" w:eastAsia="zh-CN"/>
              </w:rPr>
              <w:t xml:space="preserve">；苯、甲苯、二甲苯</w:t>
            </w:r>
            <w:r>
              <w:rPr>
                <w:rFonts w:hint="eastAsia" w:ascii="宋体" w:hAnsi="宋体" w:cs="宋体"/>
                <w:sz w:val="24"/>
                <w:szCs w:val="24"/>
                <w:highlight w:val="none"/>
                <w:lang w:val="en-US" w:eastAsia="zh-CN"/>
              </w:rPr>
              <w:t xml:space="preserve">未检出</w:t>
            </w:r>
            <w:r>
              <w:rPr>
                <w:rFonts w:hint="eastAsia" w:ascii="宋体" w:hAnsi="宋体" w:eastAsia="宋体" w:cs="宋体"/>
                <w:sz w:val="24"/>
                <w:szCs w:val="24"/>
                <w:highlight w:val="none"/>
                <w:lang w:val="en-US" w:eastAsia="zh-CN"/>
              </w:rPr>
              <w:t xml:space="preserve">；重金属元素含量</w:t>
            </w:r>
            <w:r>
              <w:rPr>
                <w:rFonts w:hint="eastAsia" w:ascii="宋体" w:hAnsi="宋体" w:cs="宋体"/>
                <w:sz w:val="24"/>
                <w:szCs w:val="24"/>
                <w:highlight w:val="none"/>
                <w:lang w:val="en-US" w:eastAsia="zh-CN"/>
              </w:rPr>
              <w:t xml:space="preserve">（铅、镉、铬、汞）未检出</w:t>
            </w:r>
            <w:r>
              <w:rPr>
                <w:rFonts w:hint="eastAsia" w:ascii="宋体" w:hAnsi="宋体" w:eastAsia="宋体" w:cs="宋体"/>
                <w:sz w:val="24"/>
                <w:szCs w:val="24"/>
                <w:highlight w:val="none"/>
                <w:lang w:val="en-US" w:eastAsia="zh-CN"/>
              </w:rPr>
              <w:t xml:space="preserve">；总挥发性有机化合物</w:t>
            </w:r>
            <w:r>
              <w:rPr>
                <w:rFonts w:hint="eastAsia" w:ascii="宋体" w:hAnsi="宋体" w:cs="宋体"/>
                <w:sz w:val="24"/>
                <w:szCs w:val="24"/>
                <w:highlight w:val="none"/>
                <w:lang w:val="en-US" w:eastAsia="zh-CN"/>
              </w:rPr>
              <w:t xml:space="preserve">未检出</w:t>
            </w:r>
            <w:r>
              <w:rPr>
                <w:rFonts w:hint="eastAsia" w:ascii="宋体" w:hAnsi="宋体" w:eastAsia="宋体" w:cs="宋体"/>
                <w:sz w:val="24"/>
                <w:szCs w:val="24"/>
                <w:highlight w:val="none"/>
                <w:lang w:val="en-US" w:eastAsia="zh-CN"/>
              </w:rPr>
              <w:t xml:space="preserve">；阻燃1级</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GB/T36022-2018、GB/T40493-2021</w:t>
            </w:r>
            <w:r>
              <w:rPr>
                <w:rFonts w:hint="eastAsia" w:ascii="宋体" w:hAnsi="宋体" w:cs="宋体"/>
                <w:sz w:val="24"/>
                <w:szCs w:val="24"/>
                <w:highlight w:val="none"/>
                <w:lang w:val="en-US" w:eastAsia="zh-CN"/>
              </w:rPr>
              <w:t xml:space="preserve">、GB/T17657-2022</w:t>
            </w:r>
            <w:r/>
          </w:p>
        </w:tc>
      </w:tr>
      <w:tr>
        <w:trPr/>
        <w:tc>
          <w:tcPr>
            <w:shd w:val="clear" w:color="auto" w:fill="ffffff" w:themeFill="background1"/>
            <w:tcW w:w="240" w:type="dxa"/>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shd w:val="clear" w:color="auto" w:fill="ffffff" w:themeFill="background1"/>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冷轧钢板</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抗拉强度</w:t>
            </w:r>
            <w:r>
              <w:rPr>
                <w:rFonts w:hint="eastAsia" w:ascii="宋体" w:hAnsi="宋体" w:cs="宋体"/>
                <w:sz w:val="24"/>
                <w:szCs w:val="24"/>
                <w:highlight w:val="none"/>
                <w:lang w:val="en-US" w:eastAsia="zh-CN"/>
              </w:rPr>
              <w:t xml:space="preserve">≥520</w:t>
            </w:r>
            <w:r>
              <w:rPr>
                <w:rFonts w:hint="eastAsia" w:ascii="宋体" w:hAnsi="宋体" w:eastAsia="宋体" w:cs="宋体"/>
                <w:sz w:val="24"/>
                <w:szCs w:val="24"/>
                <w:highlight w:val="none"/>
                <w:lang w:val="en-US" w:eastAsia="zh-CN"/>
              </w:rPr>
              <w:t xml:space="preserve">；屈服强度</w:t>
            </w:r>
            <w:r>
              <w:rPr>
                <w:rFonts w:hint="eastAsia" w:ascii="宋体" w:hAnsi="宋体" w:cs="宋体"/>
                <w:sz w:val="24"/>
                <w:szCs w:val="24"/>
                <w:highlight w:val="none"/>
                <w:lang w:val="en-US" w:eastAsia="zh-CN"/>
              </w:rPr>
              <w:t xml:space="preserve">≥205</w:t>
            </w:r>
            <w:r>
              <w:rPr>
                <w:rFonts w:hint="eastAsia" w:ascii="宋体" w:hAnsi="宋体" w:eastAsia="宋体" w:cs="宋体"/>
                <w:sz w:val="24"/>
                <w:szCs w:val="24"/>
                <w:highlight w:val="none"/>
                <w:lang w:val="en-US" w:eastAsia="zh-CN"/>
              </w:rPr>
              <w:t xml:space="preserve">；断后伸长率</w:t>
            </w:r>
            <w:r>
              <w:rPr>
                <w:rFonts w:hint="eastAsia" w:ascii="宋体" w:hAnsi="宋体" w:cs="宋体"/>
                <w:sz w:val="24"/>
                <w:szCs w:val="24"/>
                <w:highlight w:val="none"/>
                <w:lang w:val="en-US" w:eastAsia="zh-CN"/>
              </w:rPr>
              <w:t xml:space="preserve">≥40</w:t>
            </w:r>
            <w:r>
              <w:rPr>
                <w:rFonts w:hint="eastAsia" w:ascii="宋体" w:hAnsi="宋体" w:eastAsia="宋体" w:cs="宋体"/>
                <w:sz w:val="24"/>
                <w:szCs w:val="24"/>
                <w:highlight w:val="none"/>
                <w:lang w:val="en-US" w:eastAsia="zh-CN"/>
              </w:rPr>
              <w:t xml:space="preserve">；二氧化硫腐蚀试验</w:t>
            </w:r>
            <w:r>
              <w:rPr>
                <w:rFonts w:hint="eastAsia" w:ascii="宋体" w:hAnsi="宋体" w:cs="宋体"/>
                <w:sz w:val="24"/>
                <w:szCs w:val="24"/>
                <w:highlight w:val="none"/>
                <w:lang w:val="en-US" w:eastAsia="zh-CN"/>
              </w:rPr>
              <w:t xml:space="preserve">无超过50%面积腐蚀</w:t>
            </w:r>
            <w:r>
              <w:rPr>
                <w:rFonts w:hint="eastAsia" w:ascii="宋体" w:hAnsi="宋体" w:eastAsia="宋体" w:cs="宋体"/>
                <w:sz w:val="24"/>
                <w:szCs w:val="24"/>
                <w:highlight w:val="none"/>
                <w:lang w:val="en-US" w:eastAsia="zh-CN"/>
              </w:rPr>
              <w:t xml:space="preserve">；硫化氢腐蚀试验经 20min硫化氢试验，试样表面变色面积约为 90%；耐腐蚀试验10级；耐人工气候老化性（100h）；附着力</w:t>
            </w:r>
            <w:r>
              <w:rPr>
                <w:rFonts w:hint="eastAsia" w:ascii="宋体" w:hAnsi="宋体" w:cs="宋体"/>
                <w:sz w:val="24"/>
                <w:szCs w:val="24"/>
                <w:highlight w:val="none"/>
                <w:lang w:val="en-US" w:eastAsia="zh-CN"/>
              </w:rPr>
              <w:t xml:space="preserve">≥5MPa</w:t>
            </w:r>
            <w:r>
              <w:rPr>
                <w:rFonts w:hint="eastAsia" w:ascii="宋体" w:hAnsi="宋体" w:eastAsia="宋体" w:cs="宋体"/>
                <w:sz w:val="24"/>
                <w:szCs w:val="24"/>
                <w:highlight w:val="none"/>
                <w:lang w:val="en-US" w:eastAsia="zh-CN"/>
              </w:rPr>
              <w:t xml:space="preserve">；耐沾污性</w:t>
            </w:r>
            <w:r>
              <w:rPr>
                <w:rFonts w:hint="eastAsia" w:ascii="宋体" w:hAnsi="宋体" w:cs="宋体"/>
                <w:sz w:val="24"/>
                <w:szCs w:val="24"/>
                <w:highlight w:val="none"/>
                <w:lang w:val="en-US" w:eastAsia="zh-CN"/>
              </w:rPr>
              <w:t xml:space="preserve">优于3级</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GB/T3280-2015、GB/T9789-2008、QB/T3831-1999、GB/T6461-2002、GB/T1865-2009、GB/T1766-2008</w:t>
            </w:r>
            <w:r/>
          </w:p>
        </w:tc>
      </w:tr>
      <w:tr>
        <w:trPr/>
        <w:tc>
          <w:tcPr>
            <w:tcW w:w="240" w:type="dxa"/>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阻燃PP新料保护壳</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耐老化性</w:t>
            </w:r>
            <w:r>
              <w:rPr>
                <w:rFonts w:hint="eastAsia" w:ascii="宋体" w:hAnsi="宋体" w:cs="宋体"/>
                <w:sz w:val="24"/>
                <w:szCs w:val="24"/>
                <w:highlight w:val="none"/>
                <w:lang w:val="en-US" w:eastAsia="zh-CN"/>
              </w:rPr>
              <w:t xml:space="preserve">外观颜色变色评级≥3级</w:t>
            </w:r>
            <w:r>
              <w:rPr>
                <w:rFonts w:hint="eastAsia" w:ascii="宋体" w:hAnsi="宋体" w:eastAsia="宋体" w:cs="宋体"/>
                <w:sz w:val="24"/>
                <w:szCs w:val="24"/>
                <w:highlight w:val="none"/>
                <w:lang w:val="en-US" w:eastAsia="zh-CN"/>
              </w:rPr>
              <w:t xml:space="preserve">；冲击强度</w:t>
            </w:r>
            <w:r>
              <w:rPr>
                <w:rFonts w:hint="eastAsia" w:ascii="宋体" w:hAnsi="宋体" w:cs="宋体"/>
                <w:sz w:val="24"/>
                <w:szCs w:val="24"/>
                <w:highlight w:val="none"/>
                <w:lang w:val="en-US" w:eastAsia="zh-CN"/>
              </w:rPr>
              <w:t xml:space="preserve">≥10J/㎡</w:t>
            </w:r>
            <w:r>
              <w:rPr>
                <w:rFonts w:hint="eastAsia" w:ascii="宋体" w:hAnsi="宋体" w:eastAsia="宋体" w:cs="宋体"/>
                <w:sz w:val="24"/>
                <w:szCs w:val="24"/>
                <w:highlight w:val="none"/>
                <w:lang w:val="en-US" w:eastAsia="zh-CN"/>
              </w:rPr>
              <w:t xml:space="preserve">；塑料件外观</w:t>
            </w:r>
            <w:r>
              <w:rPr>
                <w:rFonts w:hint="eastAsia" w:ascii="宋体" w:hAnsi="宋体" w:cs="宋体"/>
                <w:sz w:val="24"/>
                <w:szCs w:val="24"/>
                <w:highlight w:val="none"/>
                <w:lang w:val="en-US" w:eastAsia="zh-CN"/>
              </w:rPr>
              <w:t xml:space="preserve">合格</w:t>
            </w:r>
            <w:r>
              <w:rPr>
                <w:rFonts w:hint="eastAsia" w:ascii="宋体" w:hAnsi="宋体" w:eastAsia="宋体" w:cs="宋体"/>
                <w:sz w:val="24"/>
                <w:szCs w:val="24"/>
                <w:highlight w:val="none"/>
                <w:lang w:val="en-US" w:eastAsia="zh-CN"/>
              </w:rPr>
              <w:t xml:space="preserve">；耐冷热循环</w:t>
            </w:r>
            <w:r>
              <w:rPr>
                <w:rFonts w:hint="eastAsia" w:ascii="宋体" w:hAnsi="宋体" w:cs="宋体"/>
                <w:sz w:val="24"/>
                <w:szCs w:val="24"/>
                <w:highlight w:val="none"/>
                <w:lang w:val="en-US" w:eastAsia="zh-CN"/>
              </w:rPr>
              <w:t xml:space="preserve">应无裂纹、鼓泡、变色、起皱</w:t>
            </w:r>
            <w:r>
              <w:rPr>
                <w:rFonts w:hint="eastAsia" w:ascii="宋体" w:hAnsi="宋体" w:eastAsia="宋体" w:cs="宋体"/>
                <w:sz w:val="24"/>
                <w:szCs w:val="24"/>
                <w:highlight w:val="none"/>
                <w:lang w:val="en-US" w:eastAsia="zh-CN"/>
              </w:rPr>
              <w:t xml:space="preserve">；硬度</w:t>
            </w:r>
            <w:r>
              <w:rPr>
                <w:rFonts w:hint="eastAsia" w:ascii="宋体" w:hAnsi="宋体" w:cs="宋体"/>
                <w:sz w:val="24"/>
                <w:szCs w:val="24"/>
                <w:highlight w:val="none"/>
                <w:lang w:val="en-US" w:eastAsia="zh-CN"/>
              </w:rPr>
              <w:t xml:space="preserve">≥HD63</w:t>
            </w:r>
            <w:r>
              <w:rPr>
                <w:rFonts w:hint="eastAsia" w:ascii="宋体" w:hAnsi="宋体" w:eastAsia="宋体" w:cs="宋体"/>
                <w:sz w:val="24"/>
                <w:szCs w:val="24"/>
                <w:highlight w:val="none"/>
                <w:lang w:val="en-US" w:eastAsia="zh-CN"/>
              </w:rPr>
              <w:t xml:space="preserve">；邻苯二甲酸酯</w:t>
            </w:r>
            <w:r>
              <w:rPr>
                <w:rFonts w:hint="eastAsia" w:ascii="宋体" w:hAnsi="宋体" w:cs="宋体"/>
                <w:sz w:val="24"/>
                <w:szCs w:val="24"/>
                <w:highlight w:val="none"/>
                <w:lang w:val="en-US" w:eastAsia="zh-CN"/>
              </w:rPr>
              <w:t xml:space="preserve">（DBP、BBP、DEHP、DNOP、DINP、DIDP）≤0.1%；苯并芘≤1.0mg/kg；</w:t>
            </w:r>
            <w:r>
              <w:rPr>
                <w:rFonts w:hint="eastAsia" w:ascii="宋体" w:hAnsi="宋体" w:eastAsia="宋体" w:cs="宋体"/>
                <w:sz w:val="24"/>
                <w:szCs w:val="24"/>
                <w:highlight w:val="none"/>
                <w:lang w:val="en-US" w:eastAsia="zh-CN"/>
              </w:rPr>
              <w:t xml:space="preserve">16种多环芳烃</w:t>
            </w:r>
            <w:r>
              <w:rPr>
                <w:rFonts w:hint="eastAsia" w:ascii="宋体" w:hAnsi="宋体" w:cs="宋体"/>
                <w:sz w:val="24"/>
                <w:szCs w:val="24"/>
                <w:highlight w:val="none"/>
                <w:lang w:val="en-US" w:eastAsia="zh-CN"/>
              </w:rPr>
              <w:t xml:space="preserve">（PAH）总量≤10mg/kg</w:t>
            </w:r>
            <w:r>
              <w:rPr>
                <w:rFonts w:hint="eastAsia" w:ascii="宋体" w:hAnsi="宋体" w:eastAsia="宋体" w:cs="宋体"/>
                <w:sz w:val="24"/>
                <w:szCs w:val="24"/>
                <w:highlight w:val="none"/>
                <w:lang w:val="en-US" w:eastAsia="zh-CN"/>
              </w:rPr>
              <w:t xml:space="preserve">；可迁移元素</w:t>
            </w:r>
            <w:r>
              <w:rPr>
                <w:rFonts w:hint="eastAsia" w:ascii="宋体" w:hAnsi="宋体" w:cs="宋体"/>
                <w:sz w:val="24"/>
                <w:szCs w:val="24"/>
                <w:highlight w:val="none"/>
                <w:lang w:val="en-US" w:eastAsia="zh-CN"/>
              </w:rPr>
              <w:t xml:space="preserve">（锑、砷、钡、镉、铬、铅、汞、硒）</w:t>
            </w:r>
            <w:r>
              <w:rPr>
                <w:rFonts w:hint="eastAsia" w:ascii="宋体" w:hAnsi="宋体" w:eastAsia="宋体" w:cs="宋体"/>
                <w:sz w:val="24"/>
                <w:szCs w:val="24"/>
                <w:highlight w:val="none"/>
                <w:lang w:val="en-US" w:eastAsia="zh-CN"/>
              </w:rPr>
              <w:t xml:space="preserve">；阻燃1级;抗菌性能（大肠埃希氏菌）</w:t>
            </w:r>
            <w:r>
              <w:rPr>
                <w:rFonts w:hint="eastAsia" w:ascii="宋体" w:hAnsi="宋体" w:cs="宋体"/>
                <w:sz w:val="24"/>
                <w:szCs w:val="24"/>
                <w:highlight w:val="none"/>
                <w:lang w:val="en-US" w:eastAsia="zh-CN"/>
              </w:rPr>
              <w:t xml:space="preserve">，抑菌率≥99%</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GB/T32487-2016、GB/T31402-2015</w:t>
            </w:r>
            <w:r/>
          </w:p>
        </w:tc>
      </w:tr>
      <w:tr>
        <w:trPr/>
        <w:tc>
          <w:tcPr>
            <w:tcW w:w="240" w:type="dxa"/>
            <w:vAlign w:val="top"/>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tcW w:w="0" w:type="auto"/>
            <w:vAlign w:val="top"/>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阻燃超纤皮</w:t>
            </w:r>
            <w:r/>
          </w:p>
        </w:tc>
        <w:tc>
          <w:tcPr>
            <w:tcW w:w="0" w:type="auto"/>
            <w:vAlign w:val="top"/>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eastAsia="zh-CN"/>
              </w:rPr>
              <w:t xml:space="preserve">皮革中五氯苯酚</w:t>
            </w:r>
            <w:r>
              <w:rPr>
                <w:rFonts w:hint="eastAsia" w:ascii="宋体" w:hAnsi="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、游离甲醛</w:t>
            </w:r>
            <w:r>
              <w:rPr>
                <w:rFonts w:hint="eastAsia" w:ascii="宋体" w:hAnsi="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、挥发性有机物（VOC）</w:t>
            </w:r>
            <w:r>
              <w:rPr>
                <w:rFonts w:hint="eastAsia" w:ascii="宋体" w:hAnsi="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、耐折牢度5万次无裂纹</w:t>
            </w:r>
            <w:r>
              <w:rPr>
                <w:rFonts w:hint="eastAsia" w:ascii="宋体" w:hAnsi="宋体" w:cs="宋体"/>
                <w:b w:val="0"/>
                <w:bCs w:val="0"/>
                <w:sz w:val="24"/>
                <w:szCs w:val="24"/>
                <w:highlight w:val="none"/>
                <w:lang w:eastAsia="zh-CN"/>
              </w:rPr>
              <w:t xml:space="preserve">、重金属</w:t>
            </w:r>
            <w:r>
              <w:rPr>
                <w:rFonts w:hint="eastAsia" w:ascii="宋体" w:hAnsi="宋体" w:cs="宋体"/>
                <w:b w:val="0"/>
                <w:bCs w:val="0"/>
                <w:sz w:val="24"/>
                <w:szCs w:val="24"/>
                <w:highlight w:val="none"/>
                <w:lang w:val="en-US" w:eastAsia="zh-CN"/>
              </w:rPr>
              <w:t xml:space="preserve">未检出</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多环芳烃</w:t>
            </w:r>
            <w:r>
              <w:rPr>
                <w:rFonts w:hint="eastAsia" w:ascii="宋体" w:hAnsi="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、二氨基甲苯</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、富马酸二甲酯含量</w:t>
            </w:r>
            <w:r>
              <w:rPr>
                <w:rFonts w:hint="eastAsia" w:ascii="宋体" w:hAnsi="宋体" w:cs="宋体"/>
                <w:b w:val="0"/>
                <w:bCs w:val="0"/>
                <w:sz w:val="24"/>
                <w:szCs w:val="24"/>
                <w:highlight w:val="none"/>
                <w:lang w:val="en-US" w:eastAsia="zh-CN"/>
              </w:rPr>
              <w:t xml:space="preserve">未检出</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eastAsia="zh-CN"/>
              </w:rPr>
              <w:t xml:space="preserve">二氨基二苯甲烷</w:t>
            </w:r>
            <w:r>
              <w:rPr>
                <w:rFonts w:hint="eastAsia" w:ascii="宋体" w:hAnsi="宋体" w:eastAsia="宋体" w:cs="宋体"/>
                <w:b w:val="0"/>
                <w:bCs w:val="0"/>
                <w:sz w:val="24"/>
                <w:szCs w:val="24"/>
                <w:highlight w:val="none"/>
                <w:lang w:val="en-US" w:eastAsia="zh-CN"/>
              </w:rPr>
              <w:t xml:space="preserve">未检出、防霉剂、燃烧性能B1、六价铬含量</w:t>
            </w:r>
            <w:r/>
          </w:p>
        </w:tc>
        <w:tc>
          <w:tcPr>
            <w:tcW w:w="0" w:type="auto"/>
            <w:vAlign w:val="top"/>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GB/T35607-2024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GB/T16799-2018</w:t>
            </w:r>
            <w:r>
              <w:rPr>
                <w:rFonts w:hint="eastAsia" w:ascii="宋体" w:hAnsi="宋体" w:cs="宋体"/>
                <w:sz w:val="24"/>
                <w:szCs w:val="24"/>
                <w:highlight w:val="none"/>
                <w:lang w:eastAsia="zh-CN"/>
              </w:rPr>
              <w:t xml:space="preserve">、GB/T 40971-2021</w:t>
            </w:r>
            <w:r/>
          </w:p>
        </w:tc>
      </w:tr>
      <w:tr>
        <w:trPr/>
        <w:tc>
          <w:tcPr>
            <w:tcW w:w="240" w:type="dxa"/>
            <w:textDirection w:val="lrTb"/>
            <w:noWrap w:val="false"/>
          </w:tcPr>
          <w:p>
            <w:pPr>
              <w:numPr>
                <w:ilvl w:val="0"/>
                <w:numId w:val="28"/>
              </w:numPr>
              <w:rPr>
                <w:rFonts w:hint="eastAsia" w:ascii="宋体" w:hAnsi="宋体" w:cs="宋体"/>
                <w:sz w:val="24"/>
                <w:highlight w:val="none"/>
              </w:rPr>
            </w:pPr>
            <w:r>
              <w:rPr>
                <w:rFonts w:hint="eastAsia" w:ascii="宋体" w:hAnsi="宋体" w:cs="宋体"/>
                <w:sz w:val="24"/>
                <w:highlight w:val="none"/>
              </w:rPr>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阻燃实木多层板</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抗菌性能（金黄色葡萄球菌、大肠杆菌、肺炎克雷伯氏菌、白色念珠菌、铜绿假单胞菌）</w:t>
            </w:r>
            <w:r>
              <w:rPr>
                <w:rFonts w:hint="eastAsia" w:ascii="宋体" w:hAnsi="宋体" w:cs="宋体"/>
                <w:sz w:val="24"/>
                <w:szCs w:val="24"/>
                <w:highlight w:val="none"/>
                <w:lang w:val="en-US" w:eastAsia="zh-CN"/>
              </w:rPr>
              <w:t xml:space="preserve">抑菌率≥99%</w:t>
            </w:r>
            <w:r>
              <w:rPr>
                <w:rFonts w:hint="eastAsia" w:ascii="宋体" w:hAnsi="宋体" w:eastAsia="宋体" w:cs="宋体"/>
                <w:sz w:val="24"/>
                <w:szCs w:val="24"/>
                <w:highlight w:val="none"/>
                <w:lang w:val="en-US" w:eastAsia="zh-CN"/>
              </w:rPr>
              <w:t xml:space="preserve">；甲醛释放量</w:t>
            </w:r>
            <w:r>
              <w:rPr>
                <w:rFonts w:hint="eastAsia" w:ascii="宋体" w:hAnsi="宋体" w:cs="宋体"/>
                <w:sz w:val="24"/>
                <w:szCs w:val="24"/>
                <w:highlight w:val="none"/>
                <w:lang w:val="en-US" w:eastAsia="zh-CN"/>
              </w:rPr>
              <w:t xml:space="preserve">≤0.124mg/m³</w:t>
            </w:r>
            <w:r>
              <w:rPr>
                <w:rFonts w:hint="eastAsia" w:ascii="宋体" w:hAnsi="宋体" w:eastAsia="宋体" w:cs="宋体"/>
                <w:sz w:val="24"/>
                <w:szCs w:val="24"/>
                <w:highlight w:val="none"/>
                <w:lang w:val="en-US" w:eastAsia="zh-CN"/>
              </w:rPr>
              <w:t xml:space="preserve">；含水率</w:t>
            </w:r>
            <w:r>
              <w:rPr>
                <w:rFonts w:hint="eastAsia" w:ascii="宋体" w:hAnsi="宋体" w:cs="宋体"/>
                <w:sz w:val="24"/>
                <w:szCs w:val="24"/>
                <w:highlight w:val="none"/>
                <w:lang w:val="en-US" w:eastAsia="zh-CN"/>
              </w:rPr>
              <w:t xml:space="preserve">（5-16）%</w:t>
            </w:r>
            <w:r>
              <w:rPr>
                <w:rFonts w:hint="eastAsia" w:ascii="宋体" w:hAnsi="宋体" w:eastAsia="宋体" w:cs="宋体"/>
                <w:sz w:val="24"/>
                <w:szCs w:val="24"/>
                <w:highlight w:val="none"/>
                <w:lang w:val="en-US" w:eastAsia="zh-CN"/>
              </w:rPr>
              <w:t xml:space="preserve">；静曲强度</w:t>
            </w:r>
            <w:r>
              <w:rPr>
                <w:rFonts w:hint="eastAsia" w:ascii="宋体" w:hAnsi="宋体" w:cs="宋体"/>
                <w:sz w:val="24"/>
                <w:szCs w:val="24"/>
                <w:highlight w:val="none"/>
                <w:lang w:val="en-US" w:eastAsia="zh-CN"/>
              </w:rPr>
              <w:t xml:space="preserve">-顺纹≥22Mpa</w:t>
            </w:r>
            <w:r>
              <w:rPr>
                <w:rFonts w:hint="eastAsia" w:ascii="宋体" w:hAnsi="宋体" w:eastAsia="宋体" w:cs="宋体"/>
                <w:sz w:val="24"/>
                <w:szCs w:val="24"/>
                <w:highlight w:val="none"/>
                <w:lang w:val="en-US" w:eastAsia="zh-CN"/>
              </w:rPr>
              <w:t xml:space="preserve">；表面胶合</w:t>
            </w:r>
            <w:r>
              <w:rPr>
                <w:rFonts w:hint="eastAsia" w:ascii="宋体" w:hAnsi="宋体" w:cs="宋体"/>
                <w:sz w:val="24"/>
                <w:szCs w:val="24"/>
                <w:highlight w:val="none"/>
                <w:lang w:val="en-US" w:eastAsia="zh-CN"/>
              </w:rPr>
              <w:t xml:space="preserve">强度≥0.6MPa</w:t>
            </w:r>
            <w:r>
              <w:rPr>
                <w:rFonts w:hint="eastAsia" w:ascii="宋体" w:hAnsi="宋体" w:eastAsia="宋体" w:cs="宋体"/>
                <w:sz w:val="24"/>
                <w:szCs w:val="24"/>
                <w:highlight w:val="none"/>
                <w:lang w:val="en-US" w:eastAsia="zh-CN"/>
              </w:rPr>
              <w:t xml:space="preserve">；防霉性能（黑曲霉、土曲霉；宛氏拟青霉；蜡叶芽枝霉等级0级；阻燃2级</w:t>
            </w:r>
            <w:r/>
          </w:p>
        </w:tc>
        <w:tc>
          <w:tcPr>
            <w:tcW w:w="0" w:type="auto"/>
            <w:textDirection w:val="lrTb"/>
            <w:noWrap w:val="false"/>
          </w:tcPr>
          <w:p>
            <w:pPr>
              <w:rPr>
                <w:rFonts w:hint="eastAsia" w:ascii="宋体" w:hAnsi="宋体" w:cs="宋体"/>
                <w:sz w:val="24"/>
                <w:highlight w:val="none"/>
              </w:rPr>
            </w:pPr>
            <w:r>
              <w:rPr>
                <w:rFonts w:hint="eastAsia" w:ascii="宋体" w:hAnsi="宋体" w:eastAsia="宋体" w:cs="宋体"/>
                <w:sz w:val="24"/>
                <w:szCs w:val="24"/>
                <w:highlight w:val="none"/>
                <w:lang w:val="en-US" w:eastAsia="zh-CN"/>
              </w:rPr>
              <w:t xml:space="preserve">GB/T9846-2015、GB/T18580-2017、</w:t>
            </w:r>
            <w:r>
              <w:rPr>
                <w:rFonts w:hint="eastAsia" w:ascii="宋体" w:hAnsi="宋体" w:cs="宋体"/>
                <w:sz w:val="24"/>
                <w:szCs w:val="24"/>
                <w:highlight w:val="none"/>
                <w:lang w:val="en-US" w:eastAsia="zh-CN"/>
              </w:rPr>
              <w:t xml:space="preserve">GB/T17657-2013</w:t>
            </w:r>
            <w:r/>
          </w:p>
        </w:tc>
      </w:tr>
    </w:tbl>
    <w:p>
      <w:pPr>
        <w:pStyle w:val="998"/>
        <w:ind w:firstLine="482"/>
        <w:keepLines w:val="0"/>
        <w:keepNext w:val="0"/>
        <w:pageBreakBefore w:val="0"/>
        <w:spacing w:line="500" w:lineRule="exact"/>
        <w:widowControl w:val="off"/>
        <w:rPr>
          <w:rFonts w:hint="eastAsia" w:ascii="宋体" w:hAnsi="宋体" w:eastAsia="宋体" w:cs="宋体"/>
          <w:b/>
          <w:sz w:val="24"/>
          <w:szCs w:val="24"/>
        </w:rPr>
      </w:pPr>
      <w:r>
        <w:rPr>
          <w:rFonts w:hint="eastAsia" w:hAnsi="宋体" w:eastAsia="宋体" w:cs="宋体"/>
          <w:b/>
          <w:sz w:val="24"/>
          <w:szCs w:val="24"/>
          <w:lang w:val="en-US" w:eastAsia="zh-CN"/>
        </w:rPr>
        <w:t xml:space="preserve">四</w:t>
      </w:r>
      <w:r>
        <w:rPr>
          <w:rFonts w:hint="eastAsia" w:ascii="宋体" w:hAnsi="宋体" w:eastAsia="宋体" w:cs="宋体"/>
          <w:b/>
          <w:sz w:val="24"/>
          <w:szCs w:val="24"/>
        </w:rPr>
        <w:t xml:space="preserve">、一般技术要求：</w:t>
      </w:r>
      <w:r/>
    </w:p>
    <w:p>
      <w:pPr>
        <w:pStyle w:val="998"/>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人所投产品应能够至少达到以上技术参数要求，同时必须明确所投货物的品牌、型号、规格和外形（提供图片、图纸等）、尺寸、安装尺寸、重量及一些必须说明的技术参数，以及清单，同时明确生产厂家、型号规格等，并提供详细的技术参数及性能说明书。</w:t>
      </w:r>
      <w:r/>
    </w:p>
    <w:p>
      <w:pPr>
        <w:pStyle w:val="998"/>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2、投标人必须承诺响应招标文件中提出的全部技术规格与要求，如果以其中某些条款不响应时，应在文件中逐条列出，未列出的视同响应。</w:t>
      </w:r>
      <w:r/>
    </w:p>
    <w:p>
      <w:pPr>
        <w:pStyle w:val="998"/>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3、投标人应提供绿色环保家具，应提供家具材质清单、原材料、成品检验报告、材料产地证明，并符合采购清单中描述的要求。</w:t>
      </w:r>
      <w:r/>
    </w:p>
    <w:p>
      <w:pPr>
        <w:pStyle w:val="998"/>
        <w:ind w:firstLine="480"/>
        <w:keepLines w:val="0"/>
        <w:keepNext w:val="0"/>
        <w:pageBreakBefore w:val="0"/>
        <w:spacing w:line="50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4、中标人须无条件满足电器安装施工单位提出的与之配合的相关要求，包括但不限于：桌面开孔、预留出线孔等。</w:t>
      </w:r>
      <w:r/>
    </w:p>
    <w:p>
      <w:pPr>
        <w:pStyle w:val="998"/>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hAnsi="宋体" w:eastAsia="宋体" w:cs="宋体"/>
          <w:b/>
          <w:sz w:val="24"/>
          <w:szCs w:val="24"/>
          <w:lang w:val="en-US" w:eastAsia="zh-CN"/>
        </w:rPr>
        <w:t xml:space="preserve">五</w:t>
      </w:r>
      <w:r>
        <w:rPr>
          <w:rFonts w:hint="eastAsia" w:ascii="宋体" w:hAnsi="宋体" w:eastAsia="宋体" w:cs="宋体"/>
          <w:b/>
          <w:sz w:val="24"/>
          <w:szCs w:val="24"/>
        </w:rPr>
        <w:t xml:space="preserve">、项</w:t>
      </w:r>
      <w:r>
        <w:rPr>
          <w:rFonts w:hint="eastAsia" w:ascii="宋体" w:hAnsi="宋体" w:eastAsia="宋体" w:cs="宋体"/>
          <w:b/>
          <w:sz w:val="24"/>
          <w:szCs w:val="24"/>
          <w:highlight w:val="none"/>
        </w:rPr>
        <w:t xml:space="preserve">目商务要求：</w:t>
      </w:r>
      <w:r/>
    </w:p>
    <w:p>
      <w:pPr>
        <w:pStyle w:val="998"/>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（一）交货要求</w:t>
      </w:r>
      <w:r/>
    </w:p>
    <w:p>
      <w:pPr>
        <w:pStyle w:val="998"/>
        <w:ind w:firstLine="480"/>
        <w:keepLines w:val="0"/>
        <w:keepNext w:val="0"/>
        <w:pageBreakBefore w:val="0"/>
        <w:spacing w:line="50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1、交货时间：</w:t>
      </w:r>
      <w:r>
        <w:rPr>
          <w:rFonts w:hint="eastAsia" w:ascii="宋体" w:hAnsi="宋体" w:eastAsia="宋体" w:cs="宋体"/>
          <w:sz w:val="24"/>
          <w:szCs w:val="24"/>
          <w:highlight w:val="none"/>
          <w:lang w:val="en-US" w:eastAsia="zh-CN"/>
        </w:rPr>
        <w:t xml:space="preserve">自合同签订之日起</w:t>
      </w:r>
      <w:r>
        <w:rPr>
          <w:rFonts w:ascii="宋体" w:hAnsi="宋体" w:eastAsia="宋体" w:cs="宋体"/>
          <w:sz w:val="24"/>
          <w:szCs w:val="24"/>
          <w:highlight w:val="none"/>
        </w:rPr>
        <w:t xml:space="preserve">30天内完成供货</w:t>
      </w:r>
      <w:r>
        <w:rPr>
          <w:rFonts w:hint="eastAsia" w:ascii="宋体" w:hAnsi="宋体" w:eastAsia="宋体" w:cs="宋体"/>
          <w:sz w:val="24"/>
          <w:szCs w:val="24"/>
          <w:highlight w:val="none"/>
          <w:lang w:eastAsia="zh-CN"/>
        </w:rPr>
        <w:t xml:space="preserve">。</w:t>
      </w:r>
      <w:r>
        <w:rPr>
          <w:rFonts w:hint="eastAsia" w:hAnsi="宋体" w:eastAsia="宋体" w:cs="宋体"/>
          <w:sz w:val="24"/>
          <w:szCs w:val="24"/>
          <w:highlight w:val="none"/>
          <w:lang w:val="en-US" w:eastAsia="zh-CN"/>
        </w:rPr>
        <w:t xml:space="preserve">                </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2、交货地点：采购人指定地点</w:t>
      </w:r>
      <w:r>
        <w:rPr>
          <w:rFonts w:hint="eastAsia" w:ascii="宋体" w:hAnsi="宋体" w:eastAsia="宋体" w:cs="宋体"/>
          <w:sz w:val="24"/>
          <w:szCs w:val="24"/>
          <w:highlight w:val="none"/>
          <w:lang w:val="en-US" w:eastAsia="zh-CN"/>
        </w:rPr>
        <w:t xml:space="preserve"> </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3、交货方式及状态：</w:t>
      </w:r>
      <w:r>
        <w:rPr>
          <w:rFonts w:hint="eastAsia" w:ascii="宋体" w:hAnsi="宋体" w:eastAsia="宋体" w:cs="宋体"/>
          <w:b/>
          <w:sz w:val="24"/>
          <w:szCs w:val="24"/>
          <w:highlight w:val="none"/>
        </w:rPr>
        <w:t xml:space="preserve">免费送货上门并按规定安装调试完毕</w:t>
      </w:r>
      <w:r/>
    </w:p>
    <w:p>
      <w:pPr>
        <w:pStyle w:val="998"/>
        <w:ind w:firstLine="480"/>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color w:val="000000"/>
          <w:sz w:val="24"/>
          <w:szCs w:val="24"/>
          <w:highlight w:val="none"/>
        </w:rPr>
        <w:t xml:space="preserve">投标人应严格执行绿色采购需求标准，需求标准包括：国家出台的《商品包装政府采购需求标准（试行）》《快递包装政府采购需求标准（试行）》（财办库〔2020〕123号）等。投标人应严格按照包装环保要求，根据投标货物实际情况进行绿色包装。</w:t>
      </w:r>
      <w:r/>
    </w:p>
    <w:p>
      <w:pPr>
        <w:pStyle w:val="998"/>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hAnsi="宋体" w:eastAsia="宋体" w:cs="宋体"/>
          <w:b/>
          <w:sz w:val="24"/>
          <w:szCs w:val="24"/>
          <w:highlight w:val="none"/>
          <w:lang w:val="en-US" w:eastAsia="zh-CN"/>
        </w:rPr>
        <w:t xml:space="preserve">二</w:t>
      </w:r>
      <w:r>
        <w:rPr>
          <w:rFonts w:hint="eastAsia" w:ascii="宋体" w:hAnsi="宋体" w:eastAsia="宋体" w:cs="宋体"/>
          <w:b/>
          <w:sz w:val="24"/>
          <w:szCs w:val="24"/>
          <w:highlight w:val="none"/>
        </w:rPr>
        <w:t xml:space="preserve">）项目实施要求：</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投标文件中需提供项目实施方案，包含以下内容：</w:t>
      </w:r>
      <w:r>
        <w:rPr>
          <w:rFonts w:hint="eastAsia"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项目实施进度计划；</w:t>
      </w:r>
      <w:r>
        <w:rPr>
          <w:rFonts w:hint="eastAsia"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运输、安装调试（文明施工、安装管理制度方案）、验收方案；</w:t>
      </w:r>
      <w:r>
        <w:rPr>
          <w:rFonts w:hint="eastAsia"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质量保障措施；安全保障措施（安全保证体系方案）等内容</w:t>
      </w:r>
      <w:r>
        <w:rPr>
          <w:rFonts w:hint="eastAsia" w:ascii="宋体" w:hAnsi="宋体" w:eastAsia="宋体" w:cs="宋体"/>
          <w:sz w:val="24"/>
          <w:szCs w:val="24"/>
          <w:highlight w:val="none"/>
        </w:rPr>
        <w:t xml:space="preserve">进行评审</w:t>
      </w:r>
      <w:r>
        <w:rPr>
          <w:rFonts w:hint="eastAsia" w:ascii="宋体" w:hAnsi="宋体" w:eastAsia="宋体" w:cs="宋体"/>
          <w:bCs/>
          <w:sz w:val="24"/>
          <w:szCs w:val="24"/>
          <w:highlight w:val="none"/>
        </w:rPr>
        <w:t xml:space="preserve">。</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1、需制定详细的</w:t>
      </w:r>
      <w:r>
        <w:rPr>
          <w:rFonts w:hint="eastAsia" w:ascii="宋体" w:hAnsi="宋体" w:eastAsia="宋体" w:cs="宋体"/>
          <w:bCs/>
          <w:sz w:val="24"/>
          <w:szCs w:val="24"/>
          <w:highlight w:val="none"/>
        </w:rPr>
        <w:t xml:space="preserve">项目实施进度</w:t>
      </w:r>
      <w:r>
        <w:rPr>
          <w:rFonts w:hint="eastAsia" w:ascii="宋体" w:hAnsi="宋体" w:eastAsia="宋体" w:cs="宋体"/>
          <w:sz w:val="24"/>
          <w:szCs w:val="24"/>
          <w:highlight w:val="none"/>
        </w:rPr>
        <w:t xml:space="preserve">计划方案（包括</w:t>
      </w:r>
      <w:r>
        <w:rPr>
          <w:rFonts w:hint="eastAsia" w:ascii="宋体" w:hAnsi="宋体" w:eastAsia="宋体" w:cs="宋体"/>
          <w:bCs/>
          <w:sz w:val="24"/>
          <w:szCs w:val="24"/>
          <w:highlight w:val="none"/>
        </w:rPr>
        <w:t xml:space="preserve">①工期进度安排及保证措施</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②重点难点分析、③劳动力安排计划</w:t>
      </w:r>
      <w:r>
        <w:rPr>
          <w:rFonts w:hint="eastAsia" w:ascii="宋体" w:hAnsi="宋体" w:eastAsia="宋体" w:cs="宋体"/>
          <w:sz w:val="24"/>
          <w:szCs w:val="24"/>
          <w:highlight w:val="none"/>
        </w:rPr>
        <w:t xml:space="preserve">）。明确供货进度计划、制定保障措施，</w:t>
      </w:r>
      <w:r>
        <w:rPr>
          <w:rFonts w:hint="eastAsia" w:ascii="宋体" w:hAnsi="宋体" w:eastAsia="宋体" w:cs="宋体"/>
          <w:bCs/>
          <w:sz w:val="24"/>
          <w:szCs w:val="24"/>
          <w:highlight w:val="none"/>
        </w:rPr>
        <w:t xml:space="preserve">重点难点分析</w:t>
      </w:r>
      <w:r>
        <w:rPr>
          <w:rFonts w:hint="eastAsia" w:ascii="宋体" w:hAnsi="宋体" w:eastAsia="宋体" w:cs="宋体"/>
          <w:sz w:val="24"/>
          <w:szCs w:val="24"/>
          <w:highlight w:val="none"/>
        </w:rPr>
        <w:t xml:space="preserve">及应对措施</w:t>
      </w:r>
      <w:r>
        <w:rPr>
          <w:rFonts w:hint="eastAsia" w:ascii="宋体" w:hAnsi="宋体" w:eastAsia="宋体" w:cs="宋体"/>
          <w:bCs/>
          <w:sz w:val="24"/>
          <w:szCs w:val="24"/>
          <w:highlight w:val="none"/>
        </w:rPr>
        <w:t xml:space="preserve">，劳动力人员合理安排，</w:t>
      </w:r>
      <w:r>
        <w:rPr>
          <w:rFonts w:hint="eastAsia" w:ascii="宋体" w:hAnsi="宋体" w:eastAsia="宋体" w:cs="宋体"/>
          <w:sz w:val="24"/>
          <w:szCs w:val="24"/>
          <w:highlight w:val="none"/>
        </w:rPr>
        <w:t xml:space="preserve">确保项目供货能够按时稳步完成。中标单位确保自合同签订之日起30天内完成安装交付（具体以甲方通知为准）。于10日内进行空气质量检验，检验合格后10日内完成验收。  </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2、需制定详细的</w:t>
      </w:r>
      <w:r>
        <w:rPr>
          <w:rFonts w:hint="eastAsia" w:ascii="宋体" w:hAnsi="宋体" w:eastAsia="宋体" w:cs="宋体"/>
          <w:bCs/>
          <w:sz w:val="24"/>
          <w:szCs w:val="24"/>
          <w:highlight w:val="none"/>
        </w:rPr>
        <w:t xml:space="preserve">运输、</w:t>
      </w:r>
      <w:r>
        <w:rPr>
          <w:rFonts w:hint="eastAsia" w:ascii="宋体" w:hAnsi="宋体" w:eastAsia="宋体" w:cs="宋体"/>
          <w:sz w:val="24"/>
          <w:szCs w:val="24"/>
          <w:highlight w:val="none"/>
        </w:rPr>
        <w:t xml:space="preserve">安装调试</w:t>
      </w:r>
      <w:r>
        <w:rPr>
          <w:rFonts w:hint="eastAsia" w:ascii="宋体" w:hAnsi="宋体" w:eastAsia="宋体" w:cs="宋体"/>
          <w:bCs/>
          <w:sz w:val="24"/>
          <w:szCs w:val="24"/>
          <w:highlight w:val="none"/>
        </w:rPr>
        <w:t xml:space="preserve">、验收</w:t>
      </w:r>
      <w:r>
        <w:rPr>
          <w:rFonts w:hint="eastAsia" w:ascii="宋体" w:hAnsi="宋体" w:eastAsia="宋体" w:cs="宋体"/>
          <w:sz w:val="24"/>
          <w:szCs w:val="24"/>
          <w:highlight w:val="none"/>
        </w:rPr>
        <w:t xml:space="preserve">方案（包括</w:t>
      </w:r>
      <w:r>
        <w:rPr>
          <w:rFonts w:hint="eastAsia" w:ascii="宋体" w:hAnsi="宋体" w:eastAsia="宋体" w:cs="宋体"/>
          <w:bCs/>
          <w:sz w:val="24"/>
          <w:szCs w:val="24"/>
          <w:highlight w:val="none"/>
        </w:rPr>
        <w:t xml:space="preserve">①</w:t>
      </w:r>
      <w:r>
        <w:rPr>
          <w:rFonts w:hint="eastAsia" w:hAnsi="宋体" w:eastAsia="宋体" w:cs="宋体"/>
          <w:sz w:val="24"/>
          <w:szCs w:val="24"/>
          <w:highlight w:val="none"/>
          <w:lang w:val="en-US" w:eastAsia="zh-CN"/>
        </w:rPr>
        <w:t xml:space="preserve">运输方案、</w:t>
      </w:r>
      <w:r>
        <w:rPr>
          <w:rFonts w:hint="eastAsia" w:ascii="宋体" w:hAnsi="宋体" w:eastAsia="宋体" w:cs="宋体"/>
          <w:bCs/>
          <w:sz w:val="24"/>
          <w:szCs w:val="24"/>
          <w:highlight w:val="none"/>
        </w:rPr>
        <w:t xml:space="preserve">②</w:t>
      </w:r>
      <w:r>
        <w:rPr>
          <w:rFonts w:hint="eastAsia" w:ascii="宋体" w:hAnsi="宋体" w:eastAsia="宋体" w:cs="宋体"/>
          <w:sz w:val="24"/>
          <w:szCs w:val="24"/>
          <w:highlight w:val="none"/>
        </w:rPr>
        <w:t xml:space="preserve">现场安装调试实施计划、</w:t>
      </w:r>
      <w:r>
        <w:rPr>
          <w:rFonts w:hint="eastAsia" w:ascii="宋体" w:hAnsi="宋体" w:eastAsia="宋体" w:cs="宋体"/>
          <w:bCs/>
          <w:sz w:val="24"/>
          <w:szCs w:val="24"/>
          <w:highlight w:val="none"/>
        </w:rPr>
        <w:t xml:space="preserve">③</w:t>
      </w:r>
      <w:r>
        <w:rPr>
          <w:rFonts w:hint="eastAsia" w:ascii="宋体" w:hAnsi="宋体" w:eastAsia="宋体" w:cs="宋体"/>
          <w:sz w:val="24"/>
          <w:szCs w:val="24"/>
          <w:highlight w:val="none"/>
        </w:rPr>
        <w:t xml:space="preserve">验收方案）。严格遵循国家标准和行业规范施工，制定详细安装调试实施计划、安装调试流程、安装调试质量保证实施方案、验收方案。安装过程中应加强对噪声、粉尘等的控制，不能影响正常工作，努力降低噪声，噪声不能超过80分贝，负责安装场地杂物和垃圾等的清理工作。负责保管安装现场所有材料、设备，直至项目安装、验收完毕。</w:t>
      </w:r>
      <w:r/>
    </w:p>
    <w:p>
      <w:pPr>
        <w:pStyle w:val="998"/>
        <w:ind w:firstLine="480"/>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3、需制定详细的质量保障措施方案</w:t>
      </w:r>
      <w:r>
        <w:rPr>
          <w:rFonts w:hint="eastAsia" w:hAnsi="宋体" w:eastAsia="宋体" w:cs="宋体"/>
          <w:sz w:val="24"/>
          <w:szCs w:val="24"/>
          <w:highlight w:val="none"/>
          <w:lang w:val="en-US" w:eastAsia="zh-CN"/>
        </w:rPr>
        <w:t xml:space="preserve">及</w:t>
      </w:r>
      <w:r>
        <w:rPr>
          <w:rFonts w:hint="eastAsia" w:ascii="宋体" w:hAnsi="宋体" w:eastAsia="宋体" w:cs="宋体"/>
          <w:bCs/>
          <w:sz w:val="24"/>
          <w:szCs w:val="24"/>
          <w:highlight w:val="none"/>
        </w:rPr>
        <w:t xml:space="preserve">安全保障措施</w:t>
      </w:r>
      <w:r>
        <w:rPr>
          <w:rFonts w:hint="eastAsia" w:ascii="宋体" w:hAnsi="宋体" w:eastAsia="宋体" w:cs="宋体"/>
          <w:sz w:val="24"/>
          <w:szCs w:val="24"/>
          <w:highlight w:val="none"/>
        </w:rPr>
        <w:t xml:space="preserve">方案。</w:t>
      </w:r>
      <w:r>
        <w:rPr>
          <w:rFonts w:hint="eastAsia" w:ascii="宋体" w:hAnsi="宋体" w:eastAsia="宋体" w:cs="宋体"/>
          <w:bCs/>
          <w:sz w:val="24"/>
          <w:szCs w:val="24"/>
          <w:highlight w:val="none"/>
        </w:rPr>
        <w:t xml:space="preserve">①</w:t>
      </w:r>
      <w:r>
        <w:rPr>
          <w:rFonts w:hint="eastAsia" w:ascii="宋体" w:hAnsi="宋体" w:eastAsia="宋体" w:cs="宋体"/>
          <w:sz w:val="24"/>
          <w:szCs w:val="24"/>
          <w:highlight w:val="none"/>
        </w:rPr>
        <w:t xml:space="preserve">（包括原材料及配件质量保证方案、生产过程中质量管控方案）。中标人所供产品应按国家相关强制标准或行业标准进行设计和制造，制定详细原材料及配件质量保证方案、原材料及配件检验流程、生产过程中质量管控方案。产品及其原材料应符合国家规定的强制性环保要求，所使用的主辅材料应符合国家环保标准。</w:t>
      </w:r>
      <w:r>
        <w:rPr>
          <w:rFonts w:hint="eastAsia" w:ascii="宋体" w:hAnsi="宋体" w:eastAsia="宋体" w:cs="宋体"/>
          <w:bCs/>
          <w:sz w:val="24"/>
          <w:szCs w:val="24"/>
          <w:highlight w:val="none"/>
        </w:rPr>
        <w:t xml:space="preserve">②安全保障措施</w:t>
      </w:r>
      <w:r>
        <w:rPr>
          <w:rFonts w:hint="eastAsia" w:ascii="宋体" w:hAnsi="宋体" w:eastAsia="宋体" w:cs="宋体"/>
          <w:sz w:val="24"/>
          <w:szCs w:val="24"/>
          <w:highlight w:val="none"/>
        </w:rPr>
        <w:t xml:space="preserve">方案包括安全保障措施、现场协调配合措施、成品保护措施、安全文明施工）。严格遵循国家标准和行业规范施工，制定详细</w:t>
      </w:r>
      <w:r>
        <w:rPr>
          <w:rFonts w:hint="eastAsia" w:ascii="宋体" w:hAnsi="宋体" w:eastAsia="宋体" w:cs="宋体"/>
          <w:bCs/>
          <w:sz w:val="24"/>
          <w:szCs w:val="24"/>
          <w:highlight w:val="none"/>
        </w:rPr>
        <w:t xml:space="preserve">安全保障措施</w:t>
      </w:r>
      <w:r>
        <w:rPr>
          <w:rFonts w:hint="eastAsia" w:ascii="宋体" w:hAnsi="宋体" w:eastAsia="宋体" w:cs="宋体"/>
          <w:sz w:val="24"/>
          <w:szCs w:val="24"/>
          <w:highlight w:val="none"/>
        </w:rPr>
        <w:t xml:space="preserve">。因本项目施工造成人员伤亡或财产损失，由中标人承担全部责任。</w:t>
      </w:r>
      <w:r/>
    </w:p>
    <w:p>
      <w:pPr>
        <w:pStyle w:val="998"/>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）包装和运输要求：</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1、中标人须为其提供的家具在最终验收前做好防潮、防湿、防腐、防锈及防碰撞等保护措施。因未做好保护措施导致的损失和由此产生的费用均由中标人承担。</w:t>
      </w:r>
      <w:r/>
    </w:p>
    <w:p>
      <w:pPr>
        <w:pStyle w:val="998"/>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hAnsi="宋体" w:eastAsia="宋体" w:cs="宋体"/>
          <w:b/>
          <w:sz w:val="24"/>
          <w:szCs w:val="24"/>
          <w:highlight w:val="none"/>
          <w:lang w:eastAsia="zh-CN"/>
        </w:rPr>
        <w:t xml:space="preserve">（</w:t>
      </w:r>
      <w:r>
        <w:rPr>
          <w:rFonts w:hint="eastAsia"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付款方式</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Times New Roman"/>
          <w:color w:val="000000"/>
          <w:sz w:val="24"/>
          <w:szCs w:val="24"/>
          <w:highlight w:val="none"/>
        </w:rPr>
        <w:t xml:space="preserve">合同签订支付至合同金额的30%预付款；待货物全部安装调试完毕并经甲方验收合格后，</w:t>
      </w:r>
      <w:r>
        <w:rPr>
          <w:rFonts w:hint="eastAsia" w:ascii="宋体" w:hAnsi="宋体" w:eastAsia="宋体" w:cs="Times New Roman"/>
          <w:color w:val="000000"/>
          <w:sz w:val="24"/>
          <w:szCs w:val="24"/>
          <w:highlight w:val="none"/>
          <w:lang w:val="en-US" w:eastAsia="zh-CN"/>
        </w:rPr>
        <w:t xml:space="preserve">支</w:t>
      </w:r>
      <w:r>
        <w:rPr>
          <w:rFonts w:hint="eastAsia" w:ascii="宋体" w:hAnsi="宋体" w:eastAsia="宋体" w:cs="Times New Roman"/>
          <w:color w:val="000000"/>
          <w:sz w:val="24"/>
          <w:szCs w:val="24"/>
          <w:highlight w:val="none"/>
        </w:rPr>
        <w:t xml:space="preserve">付至合同价的</w:t>
      </w:r>
      <w:r>
        <w:rPr>
          <w:rFonts w:hint="eastAsia" w:ascii="宋体" w:hAnsi="宋体" w:eastAsia="宋体" w:cs="Times New Roman"/>
          <w:color w:val="000000"/>
          <w:sz w:val="24"/>
          <w:szCs w:val="24"/>
          <w:highlight w:val="none"/>
          <w:lang w:val="en-US" w:eastAsia="zh-CN"/>
        </w:rPr>
        <w:t xml:space="preserve">95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余款5%验收合格满一年经甲方确认，无质量问题30个工作日内一次性付清。</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注：在合同执行过程中，如遇特殊情况需要延期支付，甲乙双方进行友好协商。</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付款需要提供以下材料：</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A、需方签收的送货回单。</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B、合格销售发票。</w:t>
      </w:r>
      <w:r/>
    </w:p>
    <w:p>
      <w:pPr>
        <w:pStyle w:val="998"/>
        <w:ind w:firstLine="480"/>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C、验收后的合同履行验收单</w:t>
      </w:r>
      <w:r/>
    </w:p>
    <w:p>
      <w:pPr>
        <w:pStyle w:val="998"/>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）售后要求</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1、售后服务响应：</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人在接到采购人维修要求后，必须在1小时内对采购人所提出的维修要求作出响应，2小时内到达维修现场，并在12小时内修复完毕，如24小时内无法修复完毕应免费更换同样品牌、规格的产品。否则由于故障造成的全部损失中标人承担。</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Cs/>
          <w:sz w:val="24"/>
          <w:szCs w:val="24"/>
          <w:highlight w:val="none"/>
        </w:rPr>
        <w:t xml:space="preserve">质保期内，每半年须组织售后服务人员对所供货物进行巡检一次。质保期满后的维修内容减免上门费及人工费等费用，仅按原材料的价格收取维修费用，零配件应保证5年以上的供应期，合同签订时提供原材料的价格、零配件的优惠价为质保期满后的结算依据，未提供在质保期满后价格维修清单的内容视为免费维修，价格不因时间的递增或物价上涨而改变结算价格。</w:t>
      </w:r>
      <w:r/>
    </w:p>
    <w:p>
      <w:pPr>
        <w:pStyle w:val="998"/>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Cs/>
          <w:sz w:val="24"/>
          <w:szCs w:val="24"/>
          <w:highlight w:val="none"/>
        </w:rPr>
        <w:t xml:space="preserve">免费质保期内如有质量问题时（使用不当除外），供应商将免费修复、更换，同一问题二次修复后仍有问题时，则全套更换</w:t>
      </w:r>
      <w:r>
        <w:rPr>
          <w:rFonts w:hint="eastAsia" w:ascii="宋体" w:hAnsi="宋体" w:eastAsia="宋体" w:cs="宋体"/>
          <w:sz w:val="24"/>
          <w:szCs w:val="24"/>
          <w:highlight w:val="none"/>
        </w:rPr>
        <w:t xml:space="preserve">。</w:t>
      </w:r>
      <w:r/>
    </w:p>
    <w:p>
      <w:pPr>
        <w:pStyle w:val="998"/>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4、</w:t>
      </w:r>
      <w:r>
        <w:rPr>
          <w:rFonts w:hint="eastAsia" w:ascii="宋体" w:hAnsi="宋体" w:eastAsia="宋体" w:cs="宋体"/>
          <w:bCs/>
          <w:sz w:val="24"/>
          <w:szCs w:val="24"/>
          <w:highlight w:val="none"/>
        </w:rPr>
        <w:t xml:space="preserve">中标单位应按其投标文件中的承诺，进行其他售后服务工作。包括但不限于免费提供对采购方操作人员的免费应用</w:t>
      </w:r>
      <w:r>
        <w:rPr>
          <w:rFonts w:hint="eastAsia" w:ascii="宋体" w:hAnsi="宋体" w:eastAsia="宋体" w:cs="宋体"/>
          <w:bCs/>
          <w:sz w:val="24"/>
          <w:szCs w:val="24"/>
        </w:rPr>
        <w:t xml:space="preserve">技术培训，时间、地点由客户协商而定。</w:t>
      </w:r>
      <w:r/>
    </w:p>
    <w:p>
      <w:pPr>
        <w:pStyle w:val="998"/>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5、投标人提供针对本项目的履约及售后服务方案，内容至少包括：①售后服务</w:t>
      </w:r>
      <w:r>
        <w:rPr>
          <w:rFonts w:hint="eastAsia" w:hAnsi="宋体" w:eastAsia="宋体" w:cs="宋体"/>
          <w:bCs/>
          <w:sz w:val="24"/>
          <w:szCs w:val="24"/>
          <w:lang w:val="en-US" w:eastAsia="zh-CN"/>
        </w:rPr>
        <w:t xml:space="preserve">响应</w:t>
      </w:r>
      <w:r>
        <w:rPr>
          <w:rFonts w:hint="eastAsia" w:ascii="宋体" w:hAnsi="宋体" w:eastAsia="宋体" w:cs="宋体"/>
          <w:bCs/>
          <w:sz w:val="24"/>
          <w:szCs w:val="24"/>
        </w:rPr>
        <w:t xml:space="preserve">、②应急预案、③维保方案、④</w:t>
      </w:r>
      <w:r>
        <w:rPr>
          <w:rFonts w:hint="eastAsia" w:hAnsi="宋体" w:eastAsia="宋体" w:cs="宋体"/>
          <w:bCs/>
          <w:sz w:val="24"/>
          <w:szCs w:val="24"/>
          <w:lang w:val="en-US" w:eastAsia="zh-CN"/>
        </w:rPr>
        <w:t xml:space="preserve">增值服务</w:t>
      </w:r>
      <w:r>
        <w:rPr>
          <w:rFonts w:hint="eastAsia" w:ascii="宋体" w:hAnsi="宋体" w:eastAsia="宋体" w:cs="宋体"/>
          <w:bCs/>
          <w:sz w:val="24"/>
          <w:szCs w:val="24"/>
        </w:rPr>
        <w:t xml:space="preserve">等。</w:t>
      </w:r>
      <w:r/>
    </w:p>
    <w:p>
      <w:pPr>
        <w:pStyle w:val="998"/>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投标文件中提供针对本项目制定的售后服务管理体系方案，包括售后服务机制、响应时间、故障解决等内容、关于所投产品的售后服务承诺书等。</w:t>
      </w:r>
      <w:r/>
    </w:p>
    <w:p>
      <w:pPr>
        <w:pStyle w:val="998"/>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投标文件中提供针对本项目制定的应急预案，分析家具（设备、器械）有可能出现的重大故障，制定出合理的应急预案。</w:t>
      </w:r>
      <w:r/>
    </w:p>
    <w:p>
      <w:pPr>
        <w:pStyle w:val="998"/>
        <w:ind w:firstLine="480"/>
        <w:keepLines w:val="0"/>
        <w:keepNext w:val="0"/>
        <w:pageBreakBefore w:val="0"/>
        <w:spacing w:line="5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投标文件中提供针对本项目制定的维保方案，包括维保工作具体维保内容、维保流程、维保规范标准、维保档案等情况。</w:t>
      </w:r>
      <w:r/>
    </w:p>
    <w:p>
      <w:pPr>
        <w:pStyle w:val="998"/>
        <w:ind w:firstLine="480"/>
        <w:keepLines w:val="0"/>
        <w:keepNext w:val="0"/>
        <w:pageBreakBefore w:val="0"/>
        <w:spacing w:line="500" w:lineRule="exact"/>
        <w:widowControl w:val="off"/>
        <w:rPr>
          <w:rFonts w:hint="eastAsia" w:ascii="宋体" w:hAnsi="宋体" w:eastAsia="宋体" w:cs="宋体"/>
          <w:b/>
          <w:sz w:val="24"/>
          <w:szCs w:val="24"/>
          <w:highlight w:val="yellow"/>
        </w:rPr>
      </w:pPr>
      <w:r>
        <w:rPr>
          <w:rFonts w:hint="eastAsia" w:ascii="宋体" w:hAnsi="宋体" w:eastAsia="宋体" w:cs="宋体"/>
          <w:bCs/>
          <w:sz w:val="24"/>
          <w:szCs w:val="24"/>
        </w:rPr>
        <w:t xml:space="preserve">投标文件中提供针对本项目制定的培训方案，包括培训需求分析、培训目标计划、培训内容及方法计划、负责培训人员情况、培训设备场地等情况介绍。</w:t>
      </w:r>
      <w:r/>
    </w:p>
    <w:p>
      <w:pPr>
        <w:pStyle w:val="998"/>
        <w:ind w:firstLine="482"/>
        <w:keepLines w:val="0"/>
        <w:keepNext w:val="0"/>
        <w:pageBreakBefore w:val="0"/>
        <w:spacing w:line="500" w:lineRule="exact"/>
        <w:widowControl w:val="off"/>
        <w:rPr>
          <w:rFonts w:hint="eastAsia" w:ascii="宋体" w:hAnsi="宋体" w:eastAsia="宋体" w:cs="宋体"/>
          <w:b/>
          <w:sz w:val="24"/>
          <w:szCs w:val="24"/>
          <w:highlight w:val="none"/>
        </w:rPr>
      </w:pPr>
      <w:r>
        <w:rPr>
          <w:rFonts w:hint="eastAsia"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产品质保期：</w:t>
      </w:r>
      <w:r/>
    </w:p>
    <w:p>
      <w:pPr>
        <w:pStyle w:val="998"/>
        <w:ind w:firstLine="482"/>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自产品验收合格（以双方在验收报告签订日期为准），提供</w:t>
      </w:r>
      <w:r>
        <w:rPr>
          <w:rFonts w:hint="eastAsia"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年整体全免费质保服务。</w:t>
      </w:r>
      <w:r>
        <w:rPr>
          <w:rFonts w:hint="eastAsia" w:ascii="宋体" w:hAnsi="宋体" w:eastAsia="宋体" w:cs="宋体"/>
          <w:bCs/>
          <w:sz w:val="24"/>
          <w:szCs w:val="24"/>
          <w:highlight w:val="none"/>
        </w:rPr>
        <w:t xml:space="preserve">全免费质保期内，除人为损坏和不可抗拒因素外，中标人对物品进行免费维修或更换。</w:t>
      </w:r>
      <w:r/>
    </w:p>
    <w:p>
      <w:pPr>
        <w:pStyle w:val="998"/>
        <w:ind w:firstLine="482"/>
        <w:keepLines w:val="0"/>
        <w:keepNext w:val="0"/>
        <w:pageBreakBefore w:val="0"/>
        <w:spacing w:line="500" w:lineRule="exact"/>
        <w:widowControl w:val="off"/>
        <w:rPr>
          <w:rFonts w:hint="eastAsia" w:ascii="宋体" w:hAnsi="宋体" w:eastAsia="宋体" w:cs="宋体"/>
          <w:b/>
          <w:sz w:val="24"/>
          <w:szCs w:val="24"/>
        </w:rPr>
      </w:pPr>
      <w:r>
        <w:rPr>
          <w:rFonts w:hint="eastAsia" w:hAnsi="宋体" w:eastAsia="宋体" w:cs="宋体"/>
          <w:b/>
          <w:sz w:val="24"/>
          <w:szCs w:val="24"/>
          <w:lang w:val="en-US" w:eastAsia="zh-CN"/>
        </w:rPr>
        <w:t xml:space="preserve">（七）验</w:t>
      </w:r>
      <w:r>
        <w:rPr>
          <w:rFonts w:hint="eastAsia" w:ascii="宋体" w:hAnsi="宋体" w:eastAsia="宋体" w:cs="宋体"/>
          <w:b/>
          <w:sz w:val="24"/>
          <w:szCs w:val="24"/>
        </w:rPr>
        <w:t xml:space="preserve">收要求：</w:t>
      </w:r>
      <w:r/>
    </w:p>
    <w:p>
      <w:pPr>
        <w:pStyle w:val="998"/>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1、验收时间：交货并完成安装调试后，于10日内进行空气质量检验，检验合格后10日内完成验收。</w:t>
      </w:r>
      <w:r/>
    </w:p>
    <w:p>
      <w:pPr>
        <w:pStyle w:val="998"/>
        <w:ind w:firstLine="48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2、验收要求：项目验收将根据招标文件内容对所提供货物数量、质量及项目实施要求进行验收。每个货物必须出具生产厂商的出厂产品检验合格证。</w:t>
      </w:r>
      <w:r/>
    </w:p>
    <w:p>
      <w:pPr>
        <w:pStyle w:val="998"/>
        <w:ind w:firstLine="480"/>
        <w:keepLines w:val="0"/>
        <w:keepNext w:val="0"/>
        <w:pageBreakBefore w:val="0"/>
        <w:spacing w:line="500" w:lineRule="exact"/>
        <w:widowControl w:val="off"/>
        <w:rPr>
          <w:rFonts w:hint="eastAsia" w:ascii="宋体" w:hAnsi="宋体" w:eastAsia="宋体" w:cs="宋体"/>
          <w:b/>
          <w:sz w:val="24"/>
          <w:szCs w:val="24"/>
          <w:highlight w:val="yellow"/>
        </w:rPr>
      </w:pPr>
      <w:r>
        <w:rPr>
          <w:rFonts w:hint="eastAsia" w:ascii="宋体" w:hAnsi="宋体" w:eastAsia="宋体" w:cs="宋体"/>
          <w:sz w:val="24"/>
          <w:szCs w:val="24"/>
        </w:rPr>
        <w:t xml:space="preserve">3、验收标准：验收标准符合国家最新的技术规范和标准，同时满足招标文件产品规格、具体配置、技术要求及乙方承诺的其他指标。</w:t>
      </w:r>
      <w:r/>
    </w:p>
    <w:p>
      <w:pPr>
        <w:pStyle w:val="998"/>
        <w:ind w:firstLine="482"/>
        <w:keepLines w:val="0"/>
        <w:keepNext w:val="0"/>
        <w:pageBreakBefore w:val="0"/>
        <w:spacing w:line="500" w:lineRule="exact"/>
        <w:widowControl w:val="off"/>
        <w:rPr>
          <w:rFonts w:hint="eastAsia" w:ascii="宋体" w:hAnsi="宋体" w:eastAsia="宋体" w:cs="宋体"/>
          <w:b/>
          <w:sz w:val="24"/>
          <w:szCs w:val="24"/>
        </w:rPr>
      </w:pPr>
      <w:r>
        <w:rPr>
          <w:rFonts w:hint="eastAsia" w:hAnsi="宋体" w:eastAsia="宋体" w:cs="宋体"/>
          <w:b/>
          <w:sz w:val="24"/>
          <w:szCs w:val="24"/>
          <w:lang w:val="en-US" w:eastAsia="zh-CN"/>
        </w:rPr>
        <w:t xml:space="preserve">六</w:t>
      </w:r>
      <w:r>
        <w:rPr>
          <w:rFonts w:hint="eastAsia" w:ascii="宋体" w:hAnsi="宋体" w:eastAsia="宋体" w:cs="宋体"/>
          <w:b/>
          <w:sz w:val="24"/>
          <w:szCs w:val="24"/>
        </w:rPr>
        <w:t xml:space="preserve">、报价要求：</w:t>
      </w:r>
      <w:r/>
    </w:p>
    <w:p>
      <w:pPr>
        <w:pStyle w:val="998"/>
        <w:ind w:firstLine="480"/>
        <w:keepLines w:val="0"/>
        <w:keepNext w:val="0"/>
        <w:pageBreakBefore w:val="0"/>
        <w:spacing w:line="50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投标应以人民币报价，投标总价一次报定，报价均已包括本项目的所有费用，包括但不限于由投标人为实施和完成本合同所承担的全部费用和要求获得的利润，包括货物、辅材、配件、运输、管理、维护、保险、利润、税金、保险、现场安装调试达到正常可使用状态、政策性文件规定及合同包含的所有风险、责任等各项应有费用。项目实施过程中如果因自身原因造成辅助材料缺漏，投标人负责无条件补齐，不再增加费用。</w:t>
      </w:r>
      <w:r/>
    </w:p>
    <w:p>
      <w:pPr>
        <w:pStyle w:val="998"/>
        <w:ind w:firstLine="482"/>
        <w:keepLines w:val="0"/>
        <w:keepNext w:val="0"/>
        <w:pageBreakBefore w:val="0"/>
        <w:spacing w:line="500" w:lineRule="exact"/>
        <w:widowControl w:val="off"/>
        <w:rPr>
          <w:rFonts w:hint="eastAsia" w:ascii="宋体" w:hAnsi="宋体" w:eastAsia="宋体" w:cs="宋体"/>
          <w:sz w:val="24"/>
          <w:szCs w:val="24"/>
        </w:rPr>
      </w:pPr>
      <w:r>
        <w:rPr>
          <w:rFonts w:hint="eastAsia" w:hAnsi="宋体" w:eastAsia="宋体" w:cs="宋体"/>
          <w:b/>
          <w:bCs/>
          <w:sz w:val="24"/>
          <w:szCs w:val="24"/>
          <w:lang w:val="en-US" w:eastAsia="zh-CN"/>
        </w:rPr>
        <w:t xml:space="preserve">七</w:t>
      </w:r>
      <w:r>
        <w:rPr>
          <w:rFonts w:hint="eastAsia" w:ascii="宋体" w:hAnsi="宋体" w:eastAsia="宋体" w:cs="宋体"/>
          <w:b/>
          <w:bCs/>
          <w:sz w:val="24"/>
          <w:szCs w:val="24"/>
        </w:rPr>
        <w:t xml:space="preserve">、</w:t>
      </w:r>
      <w:r>
        <w:rPr>
          <w:rFonts w:hint="eastAsia" w:ascii="宋体" w:hAnsi="宋体" w:eastAsia="宋体" w:cs="宋体"/>
          <w:sz w:val="24"/>
          <w:szCs w:val="24"/>
        </w:rPr>
        <w:t xml:space="preserve">凡涉及招标文件的补充说明和修改，均以苏州政府采购网、江苏省政府采购网发布的内容为准。</w:t>
      </w:r>
      <w:r/>
    </w:p>
    <w:p>
      <w:pPr>
        <w:pStyle w:val="998"/>
        <w:ind w:firstLine="480"/>
        <w:keepLines w:val="0"/>
        <w:keepNext w:val="0"/>
        <w:pageBreakBefore w:val="0"/>
        <w:spacing w:line="500" w:lineRule="exact"/>
        <w:widowControl w:val="off"/>
        <w:rPr>
          <w:rFonts w:hAnsi="宋体" w:eastAsia="宋体" w:cs="宋体"/>
          <w:sz w:val="24"/>
          <w:szCs w:val="24"/>
        </w:rPr>
      </w:pPr>
      <w:r>
        <w:rPr>
          <w:rFonts w:hAnsi="宋体" w:eastAsia="宋体" w:cs="宋体"/>
          <w:sz w:val="24"/>
          <w:szCs w:val="24"/>
        </w:rPr>
      </w:r>
      <w:r/>
    </w:p>
    <w:p>
      <w:pPr>
        <w:pStyle w:val="998"/>
        <w:spacing w:line="460" w:lineRule="exact"/>
        <w:rPr>
          <w:rFonts w:hAnsi="宋体" w:eastAsia="宋体" w:cs="宋体"/>
          <w:sz w:val="24"/>
          <w:szCs w:val="24"/>
        </w:rPr>
      </w:pPr>
      <w:r>
        <w:rPr>
          <w:rFonts w:hAnsi="宋体" w:eastAsia="宋体" w:cs="宋体"/>
          <w:sz w:val="24"/>
          <w:szCs w:val="24"/>
        </w:rPr>
      </w:r>
      <w:r/>
    </w:p>
    <w:p>
      <w:pPr>
        <w:pStyle w:val="998"/>
        <w:spacing w:line="460" w:lineRule="exact"/>
        <w:rPr>
          <w:rFonts w:hAnsi="宋体" w:eastAsia="宋体" w:cs="宋体"/>
          <w:sz w:val="24"/>
          <w:szCs w:val="24"/>
        </w:rPr>
      </w:pPr>
      <w:r>
        <w:rPr>
          <w:rFonts w:hAnsi="宋体" w:eastAsia="宋体" w:cs="宋体"/>
          <w:sz w:val="24"/>
          <w:szCs w:val="24"/>
        </w:rPr>
      </w:r>
      <w:r/>
    </w:p>
    <w:p>
      <w:pPr>
        <w:pStyle w:val="998"/>
        <w:spacing w:line="460" w:lineRule="exact"/>
        <w:rPr>
          <w:rFonts w:hAnsi="宋体" w:eastAsia="宋体" w:cs="宋体"/>
          <w:sz w:val="24"/>
          <w:szCs w:val="24"/>
        </w:rPr>
      </w:pPr>
      <w:r>
        <w:rPr>
          <w:rFonts w:hAnsi="宋体" w:eastAsia="宋体" w:cs="宋体"/>
          <w:sz w:val="24"/>
          <w:szCs w:val="24"/>
        </w:rPr>
      </w:r>
      <w:r/>
    </w:p>
    <w:p>
      <w:pPr>
        <w:pStyle w:val="998"/>
        <w:spacing w:line="460" w:lineRule="exact"/>
        <w:rPr>
          <w:rFonts w:hAnsi="宋体" w:eastAsia="宋体" w:cs="宋体"/>
          <w:b/>
          <w:bCs/>
          <w:sz w:val="24"/>
          <w:szCs w:val="24"/>
        </w:rPr>
      </w:pPr>
      <w:r>
        <w:rPr>
          <w:rFonts w:hAnsi="宋体" w:eastAsia="宋体" w:cs="宋体"/>
          <w:b/>
          <w:bCs/>
          <w:sz w:val="24"/>
          <w:szCs w:val="24"/>
        </w:rPr>
      </w:r>
      <w:r/>
    </w:p>
    <w:p>
      <w:pPr>
        <w:pStyle w:val="999"/>
        <w:ind w:firstLine="0"/>
        <w:rPr>
          <w:rFonts w:ascii="宋体" w:hAnsi="宋体" w:cs="宋体"/>
        </w:rPr>
      </w:pPr>
      <w:r>
        <w:rPr>
          <w:rFonts w:ascii="宋体" w:hAnsi="宋体" w:cs="宋体"/>
        </w:rPr>
      </w:r>
      <w:r/>
    </w:p>
    <w:p>
      <w:pPr>
        <w:spacing w:line="500" w:lineRule="exact"/>
        <w:rPr>
          <w:rFonts w:ascii="宋体" w:hAnsi="宋体" w:cs="宋体"/>
          <w:b/>
          <w:bCs/>
          <w:sz w:val="24"/>
        </w:rPr>
      </w:pPr>
      <w:r>
        <w:rPr>
          <w:rFonts w:hint="eastAsia" w:ascii="宋体" w:hAnsi="宋体" w:cs="宋体"/>
          <w:b/>
          <w:bCs/>
          <w:sz w:val="24"/>
        </w:rPr>
        <w:t xml:space="preserve">附件1：货物类项目履约验收方案</w:t>
      </w:r>
      <w:r/>
    </w:p>
    <w:p>
      <w:pPr>
        <w:pStyle w:val="998"/>
        <w:spacing w:line="480" w:lineRule="exact"/>
        <w:rPr>
          <w:rFonts w:hAnsi="宋体" w:eastAsia="宋体" w:cs="宋体"/>
          <w:b/>
          <w:bCs/>
          <w:sz w:val="24"/>
          <w:szCs w:val="24"/>
        </w:rPr>
      </w:pPr>
      <w:r>
        <w:rPr>
          <w:rFonts w:hint="eastAsia" w:hAnsi="宋体" w:eastAsia="宋体" w:cs="宋体"/>
          <w:b/>
          <w:bCs/>
          <w:sz w:val="24"/>
          <w:szCs w:val="24"/>
        </w:rPr>
        <w:t xml:space="preserve">一、项目概况</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项目编号：</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项目名称：</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供应商名称：</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合同金额：</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验收主体：</w:t>
      </w:r>
      <w:r/>
    </w:p>
    <w:p>
      <w:pPr>
        <w:pStyle w:val="998"/>
        <w:spacing w:line="480" w:lineRule="exact"/>
        <w:rPr>
          <w:rFonts w:hAnsi="宋体" w:eastAsia="宋体" w:cs="宋体"/>
          <w:b/>
          <w:bCs/>
          <w:sz w:val="24"/>
          <w:szCs w:val="24"/>
        </w:rPr>
      </w:pPr>
      <w:r>
        <w:rPr>
          <w:rFonts w:hint="eastAsia" w:hAnsi="宋体" w:eastAsia="宋体" w:cs="宋体"/>
          <w:b/>
          <w:bCs/>
          <w:sz w:val="24"/>
          <w:szCs w:val="24"/>
        </w:rPr>
        <w:t xml:space="preserve">二、验收目的</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98"/>
        <w:spacing w:line="480" w:lineRule="exact"/>
        <w:rPr>
          <w:rFonts w:hAnsi="宋体" w:eastAsia="宋体" w:cs="宋体"/>
          <w:b/>
          <w:bCs/>
          <w:sz w:val="24"/>
          <w:szCs w:val="24"/>
        </w:rPr>
      </w:pPr>
      <w:r>
        <w:rPr>
          <w:rFonts w:hint="eastAsia" w:hAnsi="宋体" w:eastAsia="宋体" w:cs="宋体"/>
          <w:b/>
          <w:bCs/>
          <w:sz w:val="24"/>
          <w:szCs w:val="24"/>
        </w:rPr>
        <w:t xml:space="preserve">三、验收依据</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98"/>
        <w:spacing w:line="480" w:lineRule="exact"/>
        <w:rPr>
          <w:rFonts w:hAnsi="宋体" w:eastAsia="宋体" w:cs="宋体"/>
          <w:b/>
          <w:bCs/>
          <w:sz w:val="24"/>
          <w:szCs w:val="24"/>
        </w:rPr>
      </w:pPr>
      <w:r>
        <w:rPr>
          <w:rFonts w:hint="eastAsia" w:hAnsi="宋体" w:eastAsia="宋体" w:cs="宋体"/>
          <w:b/>
          <w:bCs/>
          <w:sz w:val="24"/>
          <w:szCs w:val="24"/>
        </w:rPr>
        <w:t xml:space="preserve">四、验收责任主</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98"/>
        <w:spacing w:line="480" w:lineRule="exact"/>
        <w:rPr>
          <w:rFonts w:hAnsi="宋体" w:eastAsia="宋体" w:cs="宋体"/>
          <w:b/>
          <w:bCs/>
          <w:sz w:val="24"/>
          <w:szCs w:val="24"/>
        </w:rPr>
      </w:pPr>
      <w:r>
        <w:rPr>
          <w:rFonts w:hint="eastAsia" w:hAnsi="宋体" w:eastAsia="宋体" w:cs="宋体"/>
          <w:b/>
          <w:bCs/>
          <w:sz w:val="24"/>
          <w:szCs w:val="24"/>
        </w:rPr>
        <w:t xml:space="preserve">五、验收方式及验收内容</w:t>
      </w:r>
      <w:r/>
    </w:p>
    <w:p>
      <w:pPr>
        <w:pStyle w:val="998"/>
        <w:ind w:firstLine="482"/>
        <w:spacing w:line="480" w:lineRule="exact"/>
        <w:rPr>
          <w:rFonts w:hAnsi="宋体" w:eastAsia="宋体" w:cs="宋体"/>
          <w:b/>
          <w:bCs/>
          <w:sz w:val="24"/>
          <w:szCs w:val="24"/>
        </w:rPr>
      </w:pPr>
      <w:r>
        <w:rPr>
          <w:rFonts w:hint="eastAsia" w:hAnsi="宋体" w:eastAsia="宋体" w:cs="宋体"/>
          <w:b/>
          <w:bCs/>
          <w:sz w:val="24"/>
          <w:szCs w:val="24"/>
        </w:rPr>
        <w:t xml:space="preserve">5.1日常考核</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pStyle w:val="998"/>
        <w:ind w:firstLine="482"/>
        <w:spacing w:line="480" w:lineRule="exact"/>
        <w:rPr>
          <w:rFonts w:hAnsi="宋体" w:eastAsia="宋体" w:cs="宋体"/>
          <w:b/>
          <w:bCs/>
          <w:sz w:val="24"/>
          <w:szCs w:val="24"/>
        </w:rPr>
      </w:pPr>
      <w:r>
        <w:rPr>
          <w:rFonts w:hint="eastAsia" w:hAnsi="宋体" w:eastAsia="宋体" w:cs="宋体"/>
          <w:b/>
          <w:bCs/>
          <w:sz w:val="24"/>
          <w:szCs w:val="24"/>
        </w:rPr>
        <w:t xml:space="preserve">5.2检测(检验)验收</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5.2.4对检验结果存在异议时，启用备样检验，相关费用由异议提出方承担。</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5.2.5实施检验检测所造成的产品损坏、损耗，其替换补充或维修费用由供应商承担。</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pStyle w:val="998"/>
        <w:spacing w:line="480" w:lineRule="exact"/>
        <w:rPr>
          <w:rFonts w:hAnsi="宋体" w:eastAsia="宋体" w:cs="宋体"/>
          <w:b/>
          <w:bCs/>
          <w:sz w:val="24"/>
          <w:szCs w:val="24"/>
        </w:rPr>
      </w:pPr>
      <w:r>
        <w:rPr>
          <w:rFonts w:hint="eastAsia" w:hAnsi="宋体" w:eastAsia="宋体" w:cs="宋体"/>
          <w:b/>
          <w:bCs/>
          <w:sz w:val="24"/>
          <w:szCs w:val="24"/>
        </w:rPr>
        <w:t xml:space="preserve">5.3最终验收</w:t>
      </w:r>
      <w:r/>
    </w:p>
    <w:p>
      <w:pPr>
        <w:pStyle w:val="998"/>
        <w:ind w:firstLine="482"/>
        <w:spacing w:line="480" w:lineRule="exact"/>
        <w:rPr>
          <w:rFonts w:hAnsi="宋体" w:eastAsia="宋体" w:cs="宋体"/>
          <w:b/>
          <w:bCs/>
          <w:sz w:val="24"/>
          <w:szCs w:val="24"/>
        </w:rPr>
      </w:pPr>
      <w:r>
        <w:rPr>
          <w:rFonts w:hint="eastAsia" w:hAnsi="宋体" w:eastAsia="宋体" w:cs="宋体"/>
          <w:b/>
          <w:bCs/>
          <w:sz w:val="24"/>
          <w:szCs w:val="24"/>
        </w:rPr>
        <w:t xml:space="preserve">5.3.1验收准备</w:t>
      </w:r>
      <w:r/>
    </w:p>
    <w:p>
      <w:pPr>
        <w:pStyle w:val="998"/>
        <w:ind w:firstLine="480"/>
        <w:spacing w:line="480" w:lineRule="exact"/>
        <w:rPr>
          <w:rFonts w:hAnsi="宋体" w:eastAsia="宋体" w:cs="宋体"/>
          <w:b/>
          <w:bCs/>
          <w:sz w:val="24"/>
          <w:szCs w:val="24"/>
        </w:rPr>
      </w:pPr>
      <w:r>
        <w:rPr>
          <w:rFonts w:hint="eastAsia" w:hAnsi="宋体" w:eastAsia="宋体" w:cs="宋体"/>
          <w:sz w:val="24"/>
          <w:szCs w:val="24"/>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sz w:val="24"/>
          <w:szCs w:val="24"/>
        </w:rPr>
        <w:t xml:space="preserve">供应商在收到催告后五个工作日内拒不配合的，采购人应依照合同约定追究其责任。</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5.3.1.2供应商应当配合采购人、采购代理机构做好项目验收工作，及时提供与项目验收相关的生产、技术、服务、数量、质量、安全、合格证明及验收所必须具备的其他材料。</w:t>
      </w:r>
      <w:r/>
    </w:p>
    <w:p>
      <w:pPr>
        <w:pStyle w:val="998"/>
        <w:ind w:firstLine="480"/>
        <w:spacing w:line="480" w:lineRule="exact"/>
        <w:rPr>
          <w:rFonts w:hAnsi="宋体" w:eastAsia="宋体" w:cs="宋体"/>
          <w:b/>
          <w:bCs/>
          <w:sz w:val="24"/>
          <w:szCs w:val="24"/>
        </w:rPr>
      </w:pPr>
      <w:r>
        <w:rPr>
          <w:rFonts w:hint="eastAsia" w:hAnsi="宋体" w:eastAsia="宋体" w:cs="宋体"/>
          <w:sz w:val="24"/>
          <w:szCs w:val="24"/>
        </w:rPr>
        <w:t xml:space="preserve">5.3.1.3采购人应及时全面准备验收，</w:t>
      </w:r>
      <w:r>
        <w:rPr>
          <w:rFonts w:hint="eastAsia" w:hAnsi="宋体" w:eastAsia="宋体" w:cs="宋体"/>
          <w:b/>
          <w:bCs/>
          <w:sz w:val="24"/>
          <w:szCs w:val="24"/>
        </w:rPr>
        <w:t xml:space="preserve">自收到验收申请之日起五个工作日内做好通水、通电、准备验收工具等必要的验收准备工作、启动项目验收、通知供应商。</w:t>
      </w:r>
      <w:r/>
    </w:p>
    <w:p>
      <w:pPr>
        <w:pStyle w:val="998"/>
        <w:ind w:firstLine="482"/>
        <w:spacing w:line="480" w:lineRule="exact"/>
        <w:rPr>
          <w:rFonts w:hAnsi="宋体" w:eastAsia="宋体" w:cs="宋体"/>
          <w:b/>
          <w:bCs/>
          <w:sz w:val="24"/>
          <w:szCs w:val="24"/>
        </w:rPr>
      </w:pPr>
      <w:r>
        <w:rPr>
          <w:rFonts w:hint="eastAsia" w:hAnsi="宋体" w:eastAsia="宋体" w:cs="宋体"/>
          <w:b/>
          <w:bCs/>
          <w:sz w:val="24"/>
          <w:szCs w:val="24"/>
        </w:rPr>
        <w:t xml:space="preserve">5.3.2验收小组</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98"/>
        <w:ind w:firstLine="482"/>
        <w:spacing w:line="480" w:lineRule="exact"/>
        <w:rPr>
          <w:rFonts w:hAnsi="宋体" w:eastAsia="宋体" w:cs="宋体"/>
          <w:b/>
          <w:bCs/>
          <w:sz w:val="24"/>
          <w:szCs w:val="24"/>
        </w:rPr>
      </w:pPr>
      <w:r>
        <w:rPr>
          <w:rFonts w:hint="eastAsia" w:hAnsi="宋体" w:eastAsia="宋体" w:cs="宋体"/>
          <w:b/>
          <w:bCs/>
          <w:sz w:val="24"/>
          <w:szCs w:val="24"/>
        </w:rPr>
        <w:t xml:space="preserve">5.3.3参与验收人员</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5.3.3.1技术复杂或专业性强的政府采购项目，可以邀请有资质的第三方专业机构参加验收并出具专业意见。</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5.3.3.2对于采购人和使用人分离的采购项目，采购人或其委托的采购代理机构应当邀请实际使用人参与验收</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5.3.3.1政府向社会公众提供的公共服务项目，验收时应当邀请服务对象进行公共服务项目满意度评价，评价结果作为履约验收的参考依据。</w:t>
      </w:r>
      <w:r/>
    </w:p>
    <w:p>
      <w:pPr>
        <w:pStyle w:val="998"/>
        <w:ind w:firstLine="482"/>
        <w:spacing w:line="480" w:lineRule="exact"/>
        <w:rPr>
          <w:rFonts w:hAnsi="宋体" w:eastAsia="宋体" w:cs="宋体"/>
          <w:b/>
          <w:bCs/>
          <w:sz w:val="24"/>
          <w:szCs w:val="24"/>
        </w:rPr>
      </w:pPr>
      <w:r>
        <w:rPr>
          <w:rFonts w:hint="eastAsia" w:hAnsi="宋体" w:eastAsia="宋体" w:cs="宋体"/>
          <w:b/>
          <w:bCs/>
          <w:sz w:val="24"/>
          <w:szCs w:val="24"/>
        </w:rPr>
        <w:t xml:space="preserve">5.3.4验收内容</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5.3.4.2交付验收标准适用标准为：</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①按照现行国家标准执行，无国家标准的，按行业标准执行，无国家和行业标准的，按企业标准执行，并且应符合相关法律、法规规定的要求；</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②采购文件所列的各项要求、采购合同、供应商在投标（响应）文件中承诺的质量技术指标。</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pStyle w:val="998"/>
        <w:ind w:firstLine="482"/>
        <w:spacing w:line="480" w:lineRule="exact"/>
        <w:rPr>
          <w:rFonts w:hAnsi="宋体" w:eastAsia="宋体" w:cs="宋体"/>
          <w:b/>
          <w:bCs/>
          <w:sz w:val="24"/>
          <w:szCs w:val="24"/>
        </w:rPr>
      </w:pPr>
      <w:r>
        <w:rPr>
          <w:rFonts w:hint="eastAsia" w:hAnsi="宋体" w:eastAsia="宋体" w:cs="宋体"/>
          <w:b/>
          <w:bCs/>
          <w:sz w:val="24"/>
          <w:szCs w:val="24"/>
        </w:rPr>
        <w:t xml:space="preserve">5.3.5验收记录</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5.3.5.1验收小组应当要求参与验收的供应商、专业机构、专家和服务对象等出具书面意见，作为验收书的重要组成部分。</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98"/>
        <w:ind w:firstLine="482"/>
        <w:spacing w:line="480" w:lineRule="exact"/>
        <w:rPr>
          <w:rFonts w:hAnsi="宋体" w:eastAsia="宋体" w:cs="宋体"/>
          <w:b/>
          <w:bCs/>
          <w:sz w:val="24"/>
          <w:szCs w:val="24"/>
        </w:rPr>
      </w:pPr>
      <w:r>
        <w:rPr>
          <w:rFonts w:hint="eastAsia" w:hAnsi="宋体" w:eastAsia="宋体" w:cs="宋体"/>
          <w:b/>
          <w:bCs/>
          <w:sz w:val="24"/>
          <w:szCs w:val="24"/>
        </w:rPr>
        <w:t xml:space="preserve">六、验收结果</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98"/>
        <w:ind w:firstLine="482"/>
        <w:spacing w:line="480" w:lineRule="exact"/>
        <w:rPr>
          <w:rFonts w:hAnsi="宋体" w:eastAsia="宋体" w:cs="宋体"/>
          <w:b/>
          <w:bCs/>
          <w:sz w:val="24"/>
          <w:szCs w:val="24"/>
        </w:rPr>
      </w:pPr>
      <w:r>
        <w:rPr>
          <w:rFonts w:hint="eastAsia" w:hAnsi="宋体" w:eastAsia="宋体" w:cs="宋体"/>
          <w:b/>
          <w:bCs/>
          <w:sz w:val="24"/>
          <w:szCs w:val="24"/>
        </w:rPr>
        <w:t xml:space="preserve">七、验收资料归档</w:t>
      </w:r>
      <w:r/>
    </w:p>
    <w:p>
      <w:pPr>
        <w:pStyle w:val="998"/>
        <w:ind w:firstLine="480"/>
        <w:spacing w:line="480" w:lineRule="exact"/>
        <w:rPr>
          <w:rFonts w:hAnsi="宋体" w:eastAsia="宋体" w:cs="宋体"/>
          <w:sz w:val="24"/>
          <w:szCs w:val="24"/>
        </w:rPr>
      </w:pPr>
      <w:r>
        <w:rPr>
          <w:rFonts w:hint="eastAsia" w:hAnsi="宋体" w:eastAsia="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1767"/>
        <w:spacing w:before="240" w:after="240" w:line="43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ind w:firstLine="1767"/>
        <w:spacing w:before="240" w:after="240" w:line="43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spacing w:val="9"/>
          <w:sz w:val="36"/>
          <w:szCs w:val="36"/>
        </w:rPr>
        <w:t xml:space="preserve">政府采购履约验收书(货物类）</w:t>
      </w:r>
      <w:r/>
    </w:p>
    <w:tbl>
      <w:tblPr>
        <w:tblStyle w:val="800"/>
        <w:tblpPr w:horzAnchor="page" w:tblpX="848" w:vertAnchor="text" w:tblpY="904" w:leftFromText="180" w:topFromText="0" w:rightFromText="180" w:bottomFromText="0"/>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590"/>
        <w:gridCol w:w="992"/>
        <w:gridCol w:w="1276"/>
      </w:tblGrid>
      <w:tr>
        <w:trPr>
          <w:trHeight w:val="514"/>
        </w:trPr>
        <w:tc>
          <w:tcPr>
            <w:tcW w:w="1131"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采购人</w:t>
            </w:r>
            <w:r/>
          </w:p>
        </w:tc>
        <w:tc>
          <w:tcPr>
            <w:gridSpan w:val="2"/>
            <w:tcW w:w="2268" w:type="dxa"/>
            <w:vAlign w:val="center"/>
            <w:textDirection w:val="lrTb"/>
            <w:noWrap w:val="false"/>
          </w:tcPr>
          <w:p>
            <w:pPr>
              <w:jc w:val="center"/>
              <w:spacing w:line="400" w:lineRule="exact"/>
              <w:rPr>
                <w:rFonts w:ascii="宋体" w:hAnsi="宋体" w:cs="宋体"/>
                <w:sz w:val="18"/>
                <w:szCs w:val="18"/>
                <w:lang w:bidi="ar"/>
              </w:rPr>
            </w:pPr>
            <w:r>
              <w:rPr>
                <w:rFonts w:ascii="宋体" w:hAnsi="宋体" w:cs="宋体"/>
                <w:sz w:val="18"/>
                <w:szCs w:val="18"/>
                <w:lang w:bidi="ar"/>
              </w:rPr>
            </w:r>
            <w:r/>
          </w:p>
        </w:tc>
        <w:tc>
          <w:tcPr>
            <w:tcW w:w="993"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项目名称</w:t>
            </w:r>
            <w:r/>
          </w:p>
        </w:tc>
        <w:tc>
          <w:tcPr>
            <w:gridSpan w:val="2"/>
            <w:tcW w:w="2126" w:type="dxa"/>
            <w:vAlign w:val="center"/>
            <w:textDirection w:val="lrTb"/>
            <w:noWrap w:val="false"/>
          </w:tcPr>
          <w:p>
            <w:pPr>
              <w:jc w:val="center"/>
              <w:spacing w:line="400" w:lineRule="exact"/>
              <w:rPr>
                <w:rFonts w:ascii="宋体" w:hAnsi="宋体" w:cs="宋体"/>
                <w:sz w:val="18"/>
                <w:szCs w:val="18"/>
                <w:lang w:bidi="ar"/>
              </w:rPr>
            </w:pPr>
            <w:r>
              <w:rPr>
                <w:rFonts w:ascii="宋体" w:hAnsi="宋体" w:cs="宋体"/>
                <w:sz w:val="18"/>
                <w:szCs w:val="18"/>
                <w:lang w:bidi="ar"/>
              </w:rPr>
            </w:r>
            <w:r/>
          </w:p>
        </w:tc>
        <w:tc>
          <w:tcPr>
            <w:gridSpan w:val="2"/>
            <w:tcW w:w="1134"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合同名称</w:t>
            </w:r>
            <w:r/>
          </w:p>
        </w:tc>
        <w:tc>
          <w:tcPr>
            <w:gridSpan w:val="2"/>
            <w:tcW w:w="2268" w:type="dxa"/>
            <w:vAlign w:val="center"/>
            <w:textDirection w:val="lrTb"/>
            <w:noWrap w:val="false"/>
          </w:tcPr>
          <w:p>
            <w:pPr>
              <w:jc w:val="center"/>
              <w:spacing w:line="400" w:lineRule="exact"/>
              <w:rPr>
                <w:rFonts w:ascii="宋体" w:hAnsi="宋体" w:cs="宋体"/>
                <w:sz w:val="18"/>
                <w:szCs w:val="18"/>
                <w:lang w:bidi="ar"/>
              </w:rPr>
            </w:pPr>
            <w:r>
              <w:rPr>
                <w:rFonts w:ascii="宋体" w:hAnsi="宋体" w:cs="宋体"/>
                <w:sz w:val="18"/>
                <w:szCs w:val="18"/>
                <w:lang w:bidi="ar"/>
              </w:rPr>
            </w:r>
            <w:r/>
          </w:p>
        </w:tc>
      </w:tr>
      <w:tr>
        <w:trPr>
          <w:trHeight w:val="565"/>
        </w:trPr>
        <w:tc>
          <w:tcPr>
            <w:tcW w:w="1131" w:type="dxa"/>
            <w:vAlign w:val="center"/>
            <w:textDirection w:val="lrTb"/>
            <w:noWrap w:val="false"/>
          </w:tcPr>
          <w:p>
            <w:pPr>
              <w:jc w:val="center"/>
              <w:spacing w:line="380" w:lineRule="exact"/>
              <w:rPr>
                <w:rFonts w:ascii="宋体" w:hAnsi="宋体" w:cs="宋体"/>
                <w:sz w:val="18"/>
                <w:szCs w:val="18"/>
                <w:lang w:bidi="ar"/>
              </w:rPr>
            </w:pPr>
            <w:r>
              <w:rPr>
                <w:rFonts w:hint="eastAsia" w:ascii="宋体" w:hAnsi="宋体" w:cs="宋体"/>
                <w:sz w:val="18"/>
                <w:szCs w:val="18"/>
                <w:lang w:bidi="ar"/>
              </w:rPr>
              <w:t xml:space="preserve">供应商</w:t>
            </w:r>
            <w:r/>
          </w:p>
        </w:tc>
        <w:tc>
          <w:tcPr>
            <w:gridSpan w:val="2"/>
            <w:tcW w:w="2268" w:type="dxa"/>
            <w:vAlign w:val="center"/>
            <w:textDirection w:val="lrTb"/>
            <w:noWrap w:val="false"/>
          </w:tcPr>
          <w:p>
            <w:pPr>
              <w:jc w:val="center"/>
              <w:spacing w:line="380" w:lineRule="exact"/>
              <w:rPr>
                <w:rFonts w:ascii="宋体" w:hAnsi="宋体" w:cs="宋体"/>
                <w:sz w:val="18"/>
                <w:szCs w:val="18"/>
                <w:lang w:bidi="ar"/>
              </w:rPr>
            </w:pPr>
            <w:r>
              <w:rPr>
                <w:rFonts w:ascii="宋体" w:hAnsi="宋体" w:cs="宋体"/>
                <w:sz w:val="18"/>
                <w:szCs w:val="18"/>
                <w:lang w:bidi="ar"/>
              </w:rPr>
            </w:r>
            <w:r/>
          </w:p>
        </w:tc>
        <w:tc>
          <w:tcPr>
            <w:tcW w:w="993" w:type="dxa"/>
            <w:vAlign w:val="center"/>
            <w:textDirection w:val="lrTb"/>
            <w:noWrap w:val="false"/>
          </w:tcPr>
          <w:p>
            <w:pPr>
              <w:jc w:val="center"/>
              <w:spacing w:line="380" w:lineRule="exact"/>
              <w:rPr>
                <w:rFonts w:ascii="宋体" w:hAnsi="宋体" w:cs="宋体"/>
                <w:sz w:val="18"/>
                <w:szCs w:val="18"/>
                <w:lang w:bidi="ar"/>
              </w:rPr>
            </w:pPr>
            <w:r>
              <w:rPr>
                <w:rFonts w:hint="eastAsia" w:ascii="宋体" w:hAnsi="宋体" w:cs="宋体"/>
                <w:sz w:val="18"/>
                <w:szCs w:val="18"/>
                <w:lang w:bidi="ar"/>
              </w:rPr>
              <w:t xml:space="preserve">项目及合同编号</w:t>
            </w:r>
            <w:r/>
          </w:p>
        </w:tc>
        <w:tc>
          <w:tcPr>
            <w:gridSpan w:val="2"/>
            <w:tcW w:w="2126" w:type="dxa"/>
            <w:vAlign w:val="center"/>
            <w:textDirection w:val="lrTb"/>
            <w:noWrap w:val="false"/>
          </w:tcPr>
          <w:p>
            <w:pPr>
              <w:jc w:val="center"/>
              <w:spacing w:line="380" w:lineRule="exact"/>
              <w:rPr>
                <w:rFonts w:ascii="宋体" w:hAnsi="宋体" w:cs="宋体"/>
                <w:sz w:val="18"/>
                <w:szCs w:val="18"/>
                <w:lang w:bidi="ar"/>
              </w:rPr>
            </w:pPr>
            <w:r>
              <w:rPr>
                <w:rFonts w:ascii="宋体" w:hAnsi="宋体" w:cs="宋体"/>
                <w:sz w:val="18"/>
                <w:szCs w:val="18"/>
                <w:lang w:bidi="ar"/>
              </w:rPr>
            </w:r>
            <w:r/>
          </w:p>
        </w:tc>
        <w:tc>
          <w:tcPr>
            <w:gridSpan w:val="2"/>
            <w:tcW w:w="1134" w:type="dxa"/>
            <w:vAlign w:val="center"/>
            <w:textDirection w:val="lrTb"/>
            <w:noWrap w:val="false"/>
          </w:tcPr>
          <w:p>
            <w:pPr>
              <w:jc w:val="center"/>
              <w:spacing w:line="380" w:lineRule="exact"/>
              <w:rPr>
                <w:rFonts w:ascii="宋体" w:hAnsi="宋体" w:cs="宋体"/>
                <w:sz w:val="18"/>
                <w:szCs w:val="18"/>
                <w:lang w:bidi="ar"/>
              </w:rPr>
            </w:pPr>
            <w:r>
              <w:rPr>
                <w:rFonts w:hint="eastAsia" w:ascii="宋体" w:hAnsi="宋体" w:cs="宋体"/>
                <w:sz w:val="18"/>
                <w:szCs w:val="18"/>
                <w:lang w:bidi="ar"/>
              </w:rPr>
              <w:t xml:space="preserve">合同金额</w:t>
            </w:r>
            <w:r/>
          </w:p>
        </w:tc>
        <w:tc>
          <w:tcPr>
            <w:gridSpan w:val="2"/>
            <w:tcW w:w="2268" w:type="dxa"/>
            <w:vAlign w:val="center"/>
            <w:textDirection w:val="lrTb"/>
            <w:noWrap w:val="false"/>
          </w:tcPr>
          <w:p>
            <w:pPr>
              <w:jc w:val="center"/>
              <w:spacing w:line="380" w:lineRule="exact"/>
              <w:rPr>
                <w:rFonts w:ascii="宋体" w:hAnsi="宋体" w:cs="宋体"/>
                <w:sz w:val="18"/>
                <w:szCs w:val="18"/>
                <w:lang w:bidi="ar"/>
              </w:rPr>
            </w:pPr>
            <w:r>
              <w:rPr>
                <w:rFonts w:ascii="宋体" w:hAnsi="宋体" w:cs="宋体"/>
                <w:sz w:val="18"/>
                <w:szCs w:val="18"/>
                <w:lang w:bidi="ar"/>
              </w:rPr>
            </w:r>
            <w:r/>
          </w:p>
        </w:tc>
      </w:tr>
      <w:tr>
        <w:trPr>
          <w:trHeight w:val="565"/>
        </w:trPr>
        <w:tc>
          <w:tcPr>
            <w:tcW w:w="1131" w:type="dxa"/>
            <w:vAlign w:val="center"/>
            <w:textDirection w:val="lrTb"/>
            <w:noWrap w:val="false"/>
          </w:tcPr>
          <w:p>
            <w:pPr>
              <w:jc w:val="center"/>
              <w:spacing w:line="340" w:lineRule="exact"/>
              <w:rPr>
                <w:rFonts w:ascii="宋体" w:hAnsi="宋体" w:cs="宋体"/>
                <w:sz w:val="18"/>
                <w:szCs w:val="18"/>
                <w:lang w:bidi="ar"/>
              </w:rPr>
            </w:pPr>
            <w:r>
              <w:rPr>
                <w:rFonts w:hint="eastAsia" w:ascii="宋体" w:hAnsi="宋体" w:cs="宋体"/>
                <w:sz w:val="18"/>
                <w:szCs w:val="18"/>
                <w:lang w:bidi="ar"/>
              </w:rPr>
              <w:t xml:space="preserve">分期（段）验收</w:t>
            </w:r>
            <w:r/>
          </w:p>
        </w:tc>
        <w:tc>
          <w:tcPr>
            <w:gridSpan w:val="2"/>
            <w:tcW w:w="2268" w:type="dxa"/>
            <w:vAlign w:val="center"/>
            <w:textDirection w:val="lrTb"/>
            <w:noWrap w:val="false"/>
          </w:tcPr>
          <w:p>
            <w:pPr>
              <w:jc w:val="center"/>
              <w:spacing w:line="340" w:lineRule="exact"/>
              <w:rPr>
                <w:rFonts w:ascii="宋体" w:hAnsi="宋体" w:cs="宋体"/>
                <w:sz w:val="18"/>
                <w:szCs w:val="18"/>
                <w:lang w:bidi="ar"/>
              </w:rPr>
            </w:pPr>
            <w:r>
              <w:rPr>
                <w:rFonts w:hint="eastAsia" w:ascii="宋体" w:hAnsi="宋体" w:cs="宋体"/>
                <w:sz w:val="18"/>
                <w:szCs w:val="18"/>
                <w:lang w:bidi="ar"/>
              </w:rPr>
              <w:t xml:space="preserve">是□   否□</w:t>
            </w:r>
            <w:r/>
          </w:p>
        </w:tc>
        <w:tc>
          <w:tcPr>
            <w:tcW w:w="993" w:type="dxa"/>
            <w:vAlign w:val="center"/>
            <w:textDirection w:val="lrTb"/>
            <w:noWrap w:val="false"/>
          </w:tcPr>
          <w:p>
            <w:pPr>
              <w:jc w:val="center"/>
              <w:spacing w:line="340" w:lineRule="exact"/>
              <w:rPr>
                <w:rFonts w:ascii="宋体" w:hAnsi="宋体" w:cs="宋体"/>
                <w:sz w:val="18"/>
                <w:szCs w:val="18"/>
                <w:lang w:bidi="ar"/>
              </w:rPr>
            </w:pPr>
            <w:r>
              <w:rPr>
                <w:rFonts w:hint="eastAsia" w:ascii="宋体" w:hAnsi="宋体" w:cs="宋体"/>
                <w:sz w:val="18"/>
                <w:szCs w:val="18"/>
                <w:lang w:bidi="ar"/>
              </w:rPr>
              <w:t xml:space="preserve">分期（段）情况</w:t>
            </w:r>
            <w:r/>
          </w:p>
        </w:tc>
        <w:tc>
          <w:tcPr>
            <w:gridSpan w:val="6"/>
            <w:tcW w:w="5528" w:type="dxa"/>
            <w:vAlign w:val="center"/>
            <w:textDirection w:val="lrTb"/>
            <w:noWrap w:val="false"/>
          </w:tcPr>
          <w:p>
            <w:pPr>
              <w:jc w:val="center"/>
              <w:spacing w:line="340" w:lineRule="exact"/>
              <w:rPr>
                <w:rFonts w:ascii="宋体" w:hAnsi="宋体" w:cs="宋体"/>
                <w:sz w:val="18"/>
                <w:szCs w:val="18"/>
                <w:lang w:bidi="ar"/>
              </w:rPr>
            </w:pPr>
            <w:r>
              <w:rPr>
                <w:rFonts w:hint="eastAsia" w:ascii="宋体" w:hAnsi="宋体" w:cs="宋体"/>
                <w:sz w:val="18"/>
                <w:szCs w:val="18"/>
                <w:lang w:bidi="ar"/>
              </w:rPr>
              <w:t xml:space="preserve">共分   期（段），此为第   期（段）验收</w:t>
            </w:r>
            <w:r/>
          </w:p>
        </w:tc>
      </w:tr>
      <w:tr>
        <w:trPr>
          <w:trHeight w:val="596"/>
        </w:trPr>
        <w:tc>
          <w:tcPr>
            <w:tcW w:w="1131" w:type="dxa"/>
            <w:vAlign w:val="center"/>
            <w:textDirection w:val="lrTb"/>
            <w:noWrap w:val="false"/>
          </w:tcPr>
          <w:p>
            <w:pPr>
              <w:jc w:val="center"/>
              <w:spacing w:line="360" w:lineRule="exact"/>
              <w:rPr>
                <w:rFonts w:ascii="宋体" w:hAnsi="宋体" w:cs="宋体"/>
                <w:sz w:val="18"/>
                <w:szCs w:val="18"/>
                <w:lang w:bidi="ar"/>
              </w:rPr>
            </w:pPr>
            <w:r>
              <w:rPr>
                <w:rFonts w:hint="eastAsia" w:ascii="宋体" w:hAnsi="宋体" w:cs="宋体"/>
                <w:sz w:val="18"/>
                <w:szCs w:val="18"/>
                <w:lang w:bidi="ar"/>
              </w:rPr>
              <w:t xml:space="preserve">验收时间</w:t>
            </w:r>
            <w:r/>
          </w:p>
        </w:tc>
        <w:tc>
          <w:tcPr>
            <w:gridSpan w:val="2"/>
            <w:tcW w:w="2268" w:type="dxa"/>
            <w:vAlign w:val="center"/>
            <w:textDirection w:val="lrTb"/>
            <w:noWrap w:val="false"/>
          </w:tcPr>
          <w:p>
            <w:pPr>
              <w:jc w:val="center"/>
              <w:spacing w:line="360" w:lineRule="exact"/>
              <w:rPr>
                <w:rFonts w:ascii="宋体" w:hAnsi="宋体" w:cs="宋体"/>
                <w:sz w:val="18"/>
                <w:szCs w:val="18"/>
                <w:lang w:bidi="ar"/>
              </w:rPr>
            </w:pPr>
            <w:r>
              <w:rPr>
                <w:rFonts w:ascii="宋体" w:hAnsi="宋体" w:cs="宋体"/>
                <w:sz w:val="18"/>
                <w:szCs w:val="18"/>
                <w:lang w:bidi="ar"/>
              </w:rPr>
            </w:r>
            <w:r/>
          </w:p>
        </w:tc>
        <w:tc>
          <w:tcPr>
            <w:tcW w:w="993" w:type="dxa"/>
            <w:vAlign w:val="center"/>
            <w:textDirection w:val="lrTb"/>
            <w:noWrap w:val="false"/>
          </w:tcPr>
          <w:p>
            <w:pPr>
              <w:jc w:val="center"/>
              <w:spacing w:line="360" w:lineRule="exact"/>
              <w:rPr>
                <w:rFonts w:ascii="宋体" w:hAnsi="宋体" w:cs="宋体"/>
                <w:sz w:val="18"/>
                <w:szCs w:val="18"/>
                <w:lang w:bidi="ar"/>
              </w:rPr>
            </w:pPr>
            <w:r>
              <w:rPr>
                <w:rFonts w:hint="eastAsia" w:ascii="宋体" w:hAnsi="宋体" w:cs="宋体"/>
                <w:sz w:val="18"/>
                <w:szCs w:val="18"/>
                <w:lang w:bidi="ar"/>
              </w:rPr>
              <w:t xml:space="preserve">验收地点</w:t>
            </w:r>
            <w:r/>
          </w:p>
        </w:tc>
        <w:tc>
          <w:tcPr>
            <w:gridSpan w:val="2"/>
            <w:tcW w:w="2126" w:type="dxa"/>
            <w:vAlign w:val="center"/>
            <w:textDirection w:val="lrTb"/>
            <w:noWrap w:val="false"/>
          </w:tcPr>
          <w:p>
            <w:pPr>
              <w:jc w:val="center"/>
              <w:spacing w:line="360" w:lineRule="exact"/>
              <w:rPr>
                <w:rFonts w:ascii="宋体" w:hAnsi="宋体" w:cs="宋体"/>
                <w:sz w:val="18"/>
                <w:szCs w:val="18"/>
                <w:lang w:bidi="ar"/>
              </w:rPr>
            </w:pPr>
            <w:r>
              <w:rPr>
                <w:rFonts w:ascii="宋体" w:hAnsi="宋体" w:cs="宋体"/>
                <w:sz w:val="18"/>
                <w:szCs w:val="18"/>
                <w:lang w:bidi="ar"/>
              </w:rPr>
            </w:r>
            <w:r/>
          </w:p>
        </w:tc>
        <w:tc>
          <w:tcPr>
            <w:gridSpan w:val="2"/>
            <w:tcW w:w="1134" w:type="dxa"/>
            <w:vAlign w:val="center"/>
            <w:textDirection w:val="lrTb"/>
            <w:noWrap w:val="false"/>
          </w:tcPr>
          <w:p>
            <w:pPr>
              <w:jc w:val="center"/>
              <w:spacing w:line="360" w:lineRule="exact"/>
              <w:rPr>
                <w:rFonts w:ascii="宋体" w:hAnsi="宋体" w:cs="宋体"/>
                <w:sz w:val="18"/>
                <w:szCs w:val="18"/>
                <w:lang w:bidi="ar"/>
              </w:rPr>
            </w:pPr>
            <w:r>
              <w:rPr>
                <w:rFonts w:hint="eastAsia" w:ascii="宋体" w:hAnsi="宋体" w:cs="宋体"/>
                <w:sz w:val="18"/>
                <w:szCs w:val="18"/>
                <w:lang w:bidi="ar"/>
              </w:rPr>
              <w:t xml:space="preserve">验收组织形式</w:t>
            </w:r>
            <w:r/>
          </w:p>
        </w:tc>
        <w:tc>
          <w:tcPr>
            <w:gridSpan w:val="2"/>
            <w:tcW w:w="2268" w:type="dxa"/>
            <w:vAlign w:val="center"/>
            <w:textDirection w:val="lrTb"/>
            <w:noWrap w:val="false"/>
          </w:tcPr>
          <w:p>
            <w:pPr>
              <w:spacing w:line="360" w:lineRule="exact"/>
              <w:rPr>
                <w:rFonts w:ascii="宋体" w:hAnsi="宋体" w:cs="宋体"/>
                <w:sz w:val="18"/>
                <w:szCs w:val="18"/>
                <w:lang w:bidi="ar"/>
              </w:rPr>
            </w:pPr>
            <w:r>
              <w:rPr>
                <w:rFonts w:hint="eastAsia" w:ascii="宋体" w:hAnsi="宋体" w:cs="宋体"/>
                <w:sz w:val="18"/>
                <w:szCs w:val="18"/>
                <w:lang w:bidi="ar"/>
              </w:rPr>
              <w:t xml:space="preserve">□自行简易验收</w:t>
            </w:r>
            <w:r/>
          </w:p>
          <w:p>
            <w:pPr>
              <w:spacing w:line="360" w:lineRule="exact"/>
              <w:rPr>
                <w:rFonts w:ascii="宋体" w:hAnsi="宋体" w:cs="宋体"/>
                <w:sz w:val="18"/>
                <w:szCs w:val="18"/>
                <w:lang w:bidi="ar"/>
              </w:rPr>
            </w:pPr>
            <w:r>
              <w:rPr>
                <w:rFonts w:hint="eastAsia" w:ascii="宋体" w:hAnsi="宋体" w:cs="宋体"/>
                <w:sz w:val="18"/>
                <w:szCs w:val="18"/>
                <w:lang w:bidi="ar"/>
              </w:rPr>
              <w:t xml:space="preserve">□验收小组验收</w:t>
            </w:r>
            <w:r/>
          </w:p>
          <w:p>
            <w:pPr>
              <w:spacing w:line="360" w:lineRule="exact"/>
              <w:rPr>
                <w:rFonts w:ascii="宋体" w:hAnsi="宋体" w:cs="宋体"/>
                <w:sz w:val="18"/>
                <w:szCs w:val="18"/>
                <w:lang w:bidi="ar"/>
              </w:rPr>
            </w:pPr>
            <w:r>
              <w:rPr>
                <w:rFonts w:hint="eastAsia" w:ascii="宋体" w:hAnsi="宋体" w:cs="宋体"/>
                <w:sz w:val="18"/>
                <w:szCs w:val="18"/>
                <w:lang w:bidi="ar"/>
              </w:rPr>
              <w:t xml:space="preserve">□采购代理机构验收</w:t>
            </w:r>
            <w:r/>
          </w:p>
        </w:tc>
      </w:tr>
      <w:tr>
        <w:trPr>
          <w:trHeight w:val="681"/>
        </w:trPr>
        <w:tc>
          <w:tcPr>
            <w:tcW w:w="1131" w:type="dxa"/>
            <w:vAlign w:val="center"/>
            <w:vMerge w:val="restart"/>
            <w:textDirection w:val="lrTb"/>
            <w:noWrap w:val="false"/>
          </w:tcPr>
          <w:p>
            <w:pPr>
              <w:jc w:val="center"/>
              <w:spacing w:line="560" w:lineRule="exact"/>
              <w:rPr>
                <w:rFonts w:ascii="宋体" w:hAnsi="宋体" w:cs="宋体"/>
                <w:sz w:val="18"/>
                <w:szCs w:val="18"/>
                <w:lang w:bidi="ar"/>
              </w:rPr>
            </w:pPr>
            <w:r>
              <w:rPr>
                <w:rFonts w:hint="eastAsia" w:ascii="宋体" w:hAnsi="宋体" w:cs="宋体"/>
                <w:sz w:val="18"/>
                <w:szCs w:val="18"/>
                <w:lang w:bidi="ar"/>
              </w:rPr>
              <w:t xml:space="preserve">验收内容</w:t>
            </w:r>
            <w:r/>
          </w:p>
        </w:tc>
        <w:tc>
          <w:tcPr>
            <w:tcW w:w="993"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货物清单</w:t>
            </w:r>
            <w:r/>
          </w:p>
        </w:tc>
        <w:tc>
          <w:tcPr>
            <w:tcW w:w="1275"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品牌、型号、规格、数量及外观质量</w:t>
            </w:r>
            <w:r/>
          </w:p>
        </w:tc>
        <w:tc>
          <w:tcPr>
            <w:tcW w:w="993"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技术、性能 指标</w:t>
            </w:r>
            <w:r/>
          </w:p>
        </w:tc>
        <w:tc>
          <w:tcPr>
            <w:tcW w:w="1134"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运行状况及 安装调试</w:t>
            </w:r>
            <w:r/>
          </w:p>
        </w:tc>
        <w:tc>
          <w:tcPr>
            <w:tcW w:w="992"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质量证明文件</w:t>
            </w:r>
            <w:r/>
          </w:p>
        </w:tc>
        <w:tc>
          <w:tcPr>
            <w:gridSpan w:val="2"/>
            <w:tcW w:w="1134"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售后服务</w:t>
            </w:r>
            <w:r/>
          </w:p>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承诺</w:t>
            </w:r>
            <w:r/>
          </w:p>
        </w:tc>
        <w:tc>
          <w:tcPr>
            <w:tcW w:w="992"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安全标准</w:t>
            </w:r>
            <w:r/>
          </w:p>
        </w:tc>
        <w:tc>
          <w:tcPr>
            <w:tcW w:w="1276" w:type="dxa"/>
            <w:vAlign w:val="center"/>
            <w:textDirection w:val="lrTb"/>
            <w:noWrap w:val="false"/>
          </w:tcPr>
          <w:p>
            <w:pPr>
              <w:spacing w:line="400" w:lineRule="exact"/>
              <w:rPr>
                <w:rFonts w:ascii="宋体" w:hAnsi="宋体" w:cs="宋体"/>
                <w:sz w:val="18"/>
                <w:szCs w:val="18"/>
                <w:lang w:bidi="ar"/>
              </w:rPr>
            </w:pPr>
            <w:r>
              <w:rPr>
                <w:rFonts w:hint="eastAsia" w:ascii="宋体" w:hAnsi="宋体" w:cs="宋体"/>
                <w:sz w:val="18"/>
                <w:szCs w:val="18"/>
                <w:lang w:bidi="ar"/>
              </w:rPr>
              <w:t xml:space="preserve">合同履约</w:t>
            </w:r>
            <w:r/>
          </w:p>
          <w:p>
            <w:pPr>
              <w:spacing w:line="400" w:lineRule="exact"/>
              <w:rPr>
                <w:rFonts w:ascii="宋体" w:hAnsi="宋体" w:cs="宋体"/>
                <w:sz w:val="18"/>
                <w:szCs w:val="18"/>
                <w:lang w:bidi="ar"/>
              </w:rPr>
            </w:pPr>
            <w:r>
              <w:rPr>
                <w:rFonts w:hint="eastAsia" w:ascii="宋体" w:hAnsi="宋体" w:cs="宋体"/>
                <w:sz w:val="18"/>
                <w:szCs w:val="18"/>
                <w:lang w:bidi="ar"/>
              </w:rPr>
              <w:t xml:space="preserve">时间、地点、方式</w:t>
            </w:r>
            <w:r/>
          </w:p>
        </w:tc>
      </w:tr>
      <w:tr>
        <w:trPr>
          <w:trHeight w:val="774"/>
        </w:trPr>
        <w:tc>
          <w:tcPr>
            <w:tcW w:w="1131" w:type="dxa"/>
            <w:vAlign w:val="center"/>
            <w:vMerge w:val="continue"/>
            <w:textDirection w:val="lrTb"/>
            <w:noWrap w:val="false"/>
          </w:tcPr>
          <w:p>
            <w:pPr>
              <w:jc w:val="center"/>
              <w:spacing w:line="560" w:lineRule="exact"/>
              <w:rPr>
                <w:rFonts w:ascii="宋体" w:hAnsi="宋体" w:cs="宋体"/>
                <w:sz w:val="18"/>
                <w:szCs w:val="18"/>
                <w:lang w:bidi="ar"/>
              </w:rPr>
            </w:pPr>
            <w:r>
              <w:rPr>
                <w:rFonts w:ascii="宋体" w:hAnsi="宋体" w:cs="宋体"/>
                <w:sz w:val="18"/>
                <w:szCs w:val="18"/>
                <w:lang w:bidi="ar"/>
              </w:rPr>
            </w:r>
            <w:r/>
          </w:p>
        </w:tc>
        <w:tc>
          <w:tcPr>
            <w:tcW w:w="993"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合  格□ </w:t>
            </w:r>
            <w:r/>
          </w:p>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不合格□</w:t>
            </w:r>
            <w:r/>
          </w:p>
        </w:tc>
        <w:tc>
          <w:tcPr>
            <w:tcW w:w="1275"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合  格□</w:t>
            </w:r>
            <w:r/>
          </w:p>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不合格□</w:t>
            </w:r>
            <w:r/>
          </w:p>
        </w:tc>
        <w:tc>
          <w:tcPr>
            <w:tcW w:w="993"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合  格□</w:t>
            </w:r>
            <w:r/>
          </w:p>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不合格□</w:t>
            </w:r>
            <w:r/>
          </w:p>
        </w:tc>
        <w:tc>
          <w:tcPr>
            <w:tcW w:w="1134"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合  格□ </w:t>
            </w:r>
            <w:r/>
          </w:p>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不合格□</w:t>
            </w:r>
            <w:r/>
          </w:p>
        </w:tc>
        <w:tc>
          <w:tcPr>
            <w:tcW w:w="992"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合  格□</w:t>
            </w:r>
            <w:r/>
          </w:p>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 不合格□</w:t>
            </w:r>
            <w:r/>
          </w:p>
        </w:tc>
        <w:tc>
          <w:tcPr>
            <w:gridSpan w:val="2"/>
            <w:tcW w:w="1134"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合  格□</w:t>
            </w:r>
            <w:r/>
          </w:p>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不合格□</w:t>
            </w:r>
            <w:r/>
          </w:p>
        </w:tc>
        <w:tc>
          <w:tcPr>
            <w:tcW w:w="992" w:type="dxa"/>
            <w:vAlign w:val="center"/>
            <w:textDirection w:val="lrTb"/>
            <w:noWrap w:val="false"/>
          </w:tcPr>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合  格□ </w:t>
            </w:r>
            <w:r/>
          </w:p>
          <w:p>
            <w:pPr>
              <w:jc w:val="center"/>
              <w:spacing w:line="400" w:lineRule="exact"/>
              <w:rPr>
                <w:rFonts w:ascii="宋体" w:hAnsi="宋体" w:cs="宋体"/>
                <w:sz w:val="18"/>
                <w:szCs w:val="18"/>
                <w:lang w:bidi="ar"/>
              </w:rPr>
            </w:pPr>
            <w:r>
              <w:rPr>
                <w:rFonts w:hint="eastAsia" w:ascii="宋体" w:hAnsi="宋体" w:cs="宋体"/>
                <w:sz w:val="18"/>
                <w:szCs w:val="18"/>
                <w:lang w:bidi="ar"/>
              </w:rPr>
              <w:t xml:space="preserve">不合格□</w:t>
            </w:r>
            <w:r/>
          </w:p>
        </w:tc>
        <w:tc>
          <w:tcPr>
            <w:tcW w:w="1276" w:type="dxa"/>
            <w:vAlign w:val="center"/>
            <w:textDirection w:val="lrTb"/>
            <w:noWrap w:val="false"/>
          </w:tcPr>
          <w:p>
            <w:pPr>
              <w:spacing w:line="400" w:lineRule="exact"/>
              <w:rPr>
                <w:rFonts w:ascii="宋体" w:hAnsi="宋体" w:cs="宋体"/>
                <w:sz w:val="18"/>
                <w:szCs w:val="18"/>
                <w:lang w:bidi="ar"/>
              </w:rPr>
            </w:pPr>
            <w:r>
              <w:rPr>
                <w:rFonts w:hint="eastAsia" w:ascii="宋体" w:hAnsi="宋体" w:cs="宋体"/>
                <w:sz w:val="18"/>
                <w:szCs w:val="18"/>
                <w:lang w:bidi="ar"/>
              </w:rPr>
              <w:t xml:space="preserve">合  格□</w:t>
            </w:r>
            <w:r/>
          </w:p>
          <w:p>
            <w:pPr>
              <w:spacing w:line="400" w:lineRule="exact"/>
              <w:rPr>
                <w:rFonts w:ascii="宋体" w:hAnsi="宋体" w:cs="宋体"/>
                <w:sz w:val="18"/>
                <w:szCs w:val="18"/>
                <w:lang w:bidi="ar"/>
              </w:rPr>
            </w:pPr>
            <w:r>
              <w:rPr>
                <w:rFonts w:hint="eastAsia" w:ascii="宋体" w:hAnsi="宋体" w:cs="宋体"/>
                <w:sz w:val="18"/>
                <w:szCs w:val="18"/>
                <w:lang w:bidi="ar"/>
              </w:rPr>
              <w:t xml:space="preserve">不合格□</w:t>
            </w:r>
            <w:r/>
          </w:p>
        </w:tc>
      </w:tr>
      <w:tr>
        <w:trPr>
          <w:trHeight w:val="666"/>
        </w:trPr>
        <w:tc>
          <w:tcPr>
            <w:tcW w:w="1131" w:type="dxa"/>
            <w:vAlign w:val="center"/>
            <w:textDirection w:val="lrTb"/>
            <w:noWrap w:val="false"/>
          </w:tcPr>
          <w:p>
            <w:pPr>
              <w:jc w:val="center"/>
              <w:spacing w:line="380" w:lineRule="exact"/>
              <w:rPr>
                <w:rFonts w:ascii="宋体" w:hAnsi="宋体" w:cs="宋体"/>
                <w:sz w:val="18"/>
                <w:szCs w:val="18"/>
                <w:lang w:bidi="ar"/>
              </w:rPr>
            </w:pPr>
            <w:r>
              <w:rPr>
                <w:rFonts w:hint="eastAsia" w:ascii="宋体" w:hAnsi="宋体" w:cs="宋体"/>
                <w:sz w:val="18"/>
                <w:szCs w:val="18"/>
                <w:lang w:bidi="ar"/>
              </w:rPr>
              <w:t xml:space="preserve">专业检测机构情况说明</w:t>
            </w:r>
            <w:r/>
          </w:p>
        </w:tc>
        <w:tc>
          <w:tcPr>
            <w:gridSpan w:val="9"/>
            <w:tcW w:w="8789" w:type="dxa"/>
            <w:vAlign w:val="center"/>
            <w:textDirection w:val="lrTb"/>
            <w:noWrap w:val="false"/>
          </w:tcPr>
          <w:p>
            <w:pPr>
              <w:jc w:val="center"/>
              <w:spacing w:line="380" w:lineRule="exact"/>
              <w:rPr>
                <w:rFonts w:ascii="宋体" w:hAnsi="宋体" w:cs="宋体"/>
                <w:sz w:val="18"/>
                <w:szCs w:val="18"/>
                <w:lang w:bidi="ar"/>
              </w:rPr>
            </w:pPr>
            <w:r>
              <w:rPr>
                <w:rFonts w:ascii="宋体" w:hAnsi="宋体" w:cs="宋体"/>
                <w:sz w:val="18"/>
                <w:szCs w:val="18"/>
                <w:lang w:bidi="ar"/>
              </w:rPr>
            </w:r>
            <w:r/>
          </w:p>
        </w:tc>
      </w:tr>
      <w:tr>
        <w:trPr>
          <w:trHeight w:val="683"/>
        </w:trPr>
        <w:tc>
          <w:tcPr>
            <w:tcW w:w="1131" w:type="dxa"/>
            <w:vAlign w:val="center"/>
            <w:textDirection w:val="lrTb"/>
            <w:noWrap w:val="false"/>
          </w:tcPr>
          <w:p>
            <w:pPr>
              <w:jc w:val="center"/>
              <w:spacing w:line="380" w:lineRule="exact"/>
              <w:rPr>
                <w:rFonts w:ascii="宋体" w:hAnsi="宋体" w:cs="宋体"/>
                <w:sz w:val="18"/>
                <w:szCs w:val="18"/>
                <w:lang w:bidi="ar"/>
              </w:rPr>
            </w:pPr>
            <w:r>
              <w:rPr>
                <w:rFonts w:hint="eastAsia" w:ascii="宋体" w:hAnsi="宋体" w:cs="宋体"/>
                <w:sz w:val="18"/>
                <w:szCs w:val="18"/>
                <w:lang w:bidi="ar"/>
              </w:rPr>
              <w:t xml:space="preserve">存在问题和</w:t>
            </w:r>
            <w:r/>
          </w:p>
          <w:p>
            <w:pPr>
              <w:jc w:val="center"/>
              <w:spacing w:line="380" w:lineRule="exact"/>
              <w:rPr>
                <w:rFonts w:ascii="宋体" w:hAnsi="宋体" w:cs="宋体"/>
                <w:sz w:val="18"/>
                <w:szCs w:val="18"/>
                <w:lang w:bidi="ar"/>
              </w:rPr>
            </w:pPr>
            <w:r>
              <w:rPr>
                <w:rFonts w:hint="eastAsia" w:ascii="宋体" w:hAnsi="宋体" w:cs="宋体"/>
                <w:sz w:val="18"/>
                <w:szCs w:val="18"/>
                <w:lang w:bidi="ar"/>
              </w:rPr>
              <w:t xml:space="preserve">改进意见</w:t>
            </w:r>
            <w:r/>
          </w:p>
        </w:tc>
        <w:tc>
          <w:tcPr>
            <w:gridSpan w:val="9"/>
            <w:tcW w:w="8789" w:type="dxa"/>
            <w:vAlign w:val="center"/>
            <w:textDirection w:val="lrTb"/>
            <w:noWrap w:val="false"/>
          </w:tcPr>
          <w:p>
            <w:pPr>
              <w:jc w:val="center"/>
              <w:spacing w:line="380" w:lineRule="exact"/>
              <w:rPr>
                <w:rFonts w:ascii="宋体" w:hAnsi="宋体" w:cs="宋体"/>
                <w:sz w:val="18"/>
                <w:szCs w:val="18"/>
                <w:lang w:bidi="ar"/>
              </w:rPr>
            </w:pPr>
            <w:r>
              <w:rPr>
                <w:rFonts w:ascii="宋体" w:hAnsi="宋体" w:cs="宋体"/>
                <w:sz w:val="18"/>
                <w:szCs w:val="18"/>
                <w:lang w:bidi="ar"/>
              </w:rPr>
            </w:r>
            <w:r/>
          </w:p>
        </w:tc>
      </w:tr>
      <w:tr>
        <w:trPr>
          <w:trHeight w:val="577"/>
        </w:trPr>
        <w:tc>
          <w:tcPr>
            <w:tcW w:w="1131" w:type="dxa"/>
            <w:vAlign w:val="center"/>
            <w:textDirection w:val="lrTb"/>
            <w:noWrap w:val="false"/>
          </w:tcPr>
          <w:p>
            <w:pPr>
              <w:jc w:val="center"/>
              <w:spacing w:line="560" w:lineRule="exact"/>
              <w:rPr>
                <w:rFonts w:ascii="宋体" w:hAnsi="宋体" w:cs="宋体"/>
                <w:sz w:val="18"/>
                <w:szCs w:val="18"/>
                <w:lang w:bidi="ar"/>
              </w:rPr>
            </w:pPr>
            <w:r>
              <w:rPr>
                <w:rFonts w:hint="eastAsia" w:ascii="宋体" w:hAnsi="宋体" w:cs="宋体"/>
                <w:sz w:val="18"/>
                <w:szCs w:val="18"/>
                <w:lang w:bidi="ar"/>
              </w:rPr>
              <w:t xml:space="preserve">最终结论</w:t>
            </w:r>
            <w:r/>
          </w:p>
        </w:tc>
        <w:tc>
          <w:tcPr>
            <w:gridSpan w:val="9"/>
            <w:tcW w:w="8789" w:type="dxa"/>
            <w:vAlign w:val="center"/>
            <w:textDirection w:val="lrTb"/>
            <w:noWrap w:val="false"/>
          </w:tcPr>
          <w:p>
            <w:pPr>
              <w:jc w:val="center"/>
              <w:spacing w:line="560" w:lineRule="exact"/>
              <w:rPr>
                <w:rFonts w:ascii="宋体" w:hAnsi="宋体" w:cs="宋体"/>
                <w:sz w:val="18"/>
                <w:szCs w:val="18"/>
                <w:lang w:bidi="ar"/>
              </w:rPr>
            </w:pPr>
            <w:r>
              <w:rPr>
                <w:rFonts w:hint="eastAsia" w:ascii="宋体" w:hAnsi="宋体" w:cs="宋体"/>
                <w:sz w:val="18"/>
                <w:szCs w:val="18"/>
                <w:lang w:bidi="ar"/>
              </w:rPr>
              <w:t xml:space="preserve">合  格□                              不合格□</w:t>
            </w:r>
            <w:r/>
          </w:p>
        </w:tc>
      </w:tr>
      <w:tr>
        <w:trPr>
          <w:trHeight w:val="565"/>
        </w:trPr>
        <w:tc>
          <w:tcPr>
            <w:tcW w:w="1131" w:type="dxa"/>
            <w:vAlign w:val="center"/>
            <w:textDirection w:val="lrTb"/>
            <w:noWrap w:val="false"/>
          </w:tcPr>
          <w:p>
            <w:pPr>
              <w:jc w:val="center"/>
              <w:spacing w:line="380" w:lineRule="exact"/>
              <w:rPr>
                <w:rFonts w:ascii="宋体" w:hAnsi="宋体" w:cs="宋体"/>
                <w:sz w:val="18"/>
                <w:szCs w:val="18"/>
                <w:lang w:bidi="ar"/>
              </w:rPr>
            </w:pPr>
            <w:r>
              <w:rPr>
                <w:rFonts w:hint="eastAsia" w:ascii="宋体" w:hAnsi="宋体" w:cs="宋体"/>
                <w:sz w:val="18"/>
                <w:szCs w:val="18"/>
                <w:lang w:bidi="ar"/>
              </w:rPr>
              <w:t xml:space="preserve">验收小组成员签字</w:t>
            </w:r>
            <w:r/>
          </w:p>
        </w:tc>
        <w:tc>
          <w:tcPr>
            <w:gridSpan w:val="9"/>
            <w:tcW w:w="8789" w:type="dxa"/>
            <w:vAlign w:val="center"/>
            <w:textDirection w:val="lrTb"/>
            <w:noWrap w:val="false"/>
          </w:tcPr>
          <w:p>
            <w:pPr>
              <w:jc w:val="center"/>
              <w:spacing w:line="380" w:lineRule="exact"/>
              <w:rPr>
                <w:rFonts w:ascii="宋体" w:hAnsi="宋体" w:cs="宋体"/>
                <w:sz w:val="18"/>
                <w:szCs w:val="18"/>
                <w:lang w:bidi="ar"/>
              </w:rPr>
            </w:pPr>
            <w:r>
              <w:rPr>
                <w:rFonts w:ascii="宋体" w:hAnsi="宋体" w:cs="宋体"/>
                <w:sz w:val="18"/>
                <w:szCs w:val="18"/>
                <w:lang w:bidi="ar"/>
              </w:rPr>
            </w:r>
            <w:r/>
          </w:p>
        </w:tc>
      </w:tr>
      <w:tr>
        <w:trPr>
          <w:trHeight w:val="433"/>
        </w:trPr>
        <w:tc>
          <w:tcPr>
            <w:gridSpan w:val="7"/>
            <w:tcW w:w="7062" w:type="dxa"/>
            <w:vAlign w:val="center"/>
            <w:textDirection w:val="lrTb"/>
            <w:noWrap w:val="false"/>
          </w:tcPr>
          <w:p>
            <w:pPr>
              <w:jc w:val="center"/>
              <w:spacing w:line="560" w:lineRule="exact"/>
              <w:rPr>
                <w:rFonts w:ascii="宋体" w:hAnsi="宋体" w:cs="宋体"/>
                <w:sz w:val="18"/>
                <w:szCs w:val="18"/>
                <w:lang w:bidi="ar"/>
              </w:rPr>
            </w:pPr>
            <w:r>
              <w:rPr>
                <w:rFonts w:hint="eastAsia" w:ascii="宋体" w:hAnsi="宋体" w:cs="宋体"/>
                <w:sz w:val="18"/>
                <w:szCs w:val="18"/>
                <w:lang w:bidi="ar"/>
              </w:rPr>
              <w:t xml:space="preserve">采购代理机构意见</w:t>
            </w:r>
            <w:r/>
          </w:p>
        </w:tc>
        <w:tc>
          <w:tcPr>
            <w:gridSpan w:val="3"/>
            <w:tcW w:w="2858" w:type="dxa"/>
            <w:vAlign w:val="center"/>
            <w:textDirection w:val="lrTb"/>
            <w:noWrap w:val="false"/>
          </w:tcPr>
          <w:p>
            <w:pPr>
              <w:jc w:val="center"/>
              <w:spacing w:line="560" w:lineRule="exact"/>
              <w:rPr>
                <w:rFonts w:ascii="宋体" w:hAnsi="宋体" w:cs="宋体"/>
                <w:sz w:val="18"/>
                <w:szCs w:val="18"/>
                <w:lang w:bidi="ar"/>
              </w:rPr>
            </w:pPr>
            <w:r>
              <w:rPr>
                <w:rFonts w:hint="eastAsia" w:ascii="宋体" w:hAnsi="宋体" w:cs="宋体"/>
                <w:sz w:val="18"/>
                <w:szCs w:val="18"/>
                <w:lang w:bidi="ar"/>
              </w:rPr>
              <w:t xml:space="preserve">采购人意见</w:t>
            </w:r>
            <w:r/>
          </w:p>
        </w:tc>
      </w:tr>
      <w:tr>
        <w:trPr>
          <w:trHeight w:val="956"/>
        </w:trPr>
        <w:tc>
          <w:tcPr>
            <w:gridSpan w:val="7"/>
            <w:tcW w:w="7062" w:type="dxa"/>
            <w:textDirection w:val="lrTb"/>
            <w:noWrap w:val="false"/>
          </w:tcPr>
          <w:p>
            <w:pPr>
              <w:jc w:val="left"/>
              <w:spacing w:line="560" w:lineRule="exact"/>
              <w:rPr>
                <w:rFonts w:ascii="宋体" w:hAnsi="宋体" w:cs="宋体"/>
                <w:sz w:val="18"/>
                <w:szCs w:val="18"/>
                <w:lang w:bidi="ar"/>
              </w:rPr>
            </w:pPr>
            <w:r>
              <w:rPr>
                <w:rFonts w:ascii="宋体" w:hAnsi="宋体" w:cs="宋体"/>
                <w:sz w:val="18"/>
                <w:szCs w:val="18"/>
                <w:lang w:bidi="ar"/>
              </w:rPr>
            </w:r>
            <w:r/>
          </w:p>
          <w:p>
            <w:pPr>
              <w:jc w:val="left"/>
              <w:spacing w:line="560" w:lineRule="exact"/>
              <w:rPr>
                <w:rFonts w:ascii="宋体" w:hAnsi="宋体" w:cs="宋体"/>
                <w:sz w:val="18"/>
                <w:szCs w:val="18"/>
                <w:lang w:bidi="ar"/>
              </w:rPr>
            </w:pPr>
            <w:r>
              <w:rPr>
                <w:rFonts w:hint="eastAsia" w:ascii="宋体" w:hAnsi="宋体" w:cs="宋体"/>
                <w:sz w:val="18"/>
                <w:szCs w:val="18"/>
                <w:lang w:bidi="ar"/>
              </w:rPr>
              <w:t xml:space="preserve">经办人：         负责人：           （采购代理机构公章）</w:t>
            </w:r>
            <w:r/>
          </w:p>
        </w:tc>
        <w:tc>
          <w:tcPr>
            <w:gridSpan w:val="3"/>
            <w:tcW w:w="2858" w:type="dxa"/>
            <w:textDirection w:val="lrTb"/>
            <w:noWrap w:val="false"/>
          </w:tcPr>
          <w:p>
            <w:pPr>
              <w:jc w:val="left"/>
              <w:spacing w:line="560" w:lineRule="exact"/>
              <w:rPr>
                <w:rFonts w:ascii="宋体" w:hAnsi="宋体" w:cs="宋体"/>
                <w:sz w:val="18"/>
                <w:szCs w:val="18"/>
                <w:lang w:bidi="ar"/>
              </w:rPr>
            </w:pPr>
            <w:r>
              <w:rPr>
                <w:rFonts w:hint="eastAsia" w:ascii="宋体" w:hAnsi="宋体" w:cs="宋体"/>
                <w:sz w:val="18"/>
                <w:szCs w:val="18"/>
                <w:lang w:bidi="ar"/>
              </w:rPr>
              <w:t xml:space="preserve">经办人：       负责人：            （采购人公章）</w:t>
            </w:r>
            <w:r/>
          </w:p>
        </w:tc>
      </w:tr>
      <w:tr>
        <w:trPr>
          <w:trHeight w:val="840"/>
        </w:trPr>
        <w:tc>
          <w:tcPr>
            <w:gridSpan w:val="10"/>
            <w:tcW w:w="9920" w:type="dxa"/>
            <w:textDirection w:val="lrTb"/>
            <w:noWrap w:val="false"/>
          </w:tcPr>
          <w:p>
            <w:pPr>
              <w:jc w:val="left"/>
              <w:spacing w:line="560" w:lineRule="exact"/>
              <w:rPr>
                <w:rFonts w:ascii="宋体" w:hAnsi="宋体" w:cs="宋体"/>
                <w:sz w:val="18"/>
                <w:szCs w:val="18"/>
                <w:lang w:bidi="ar"/>
              </w:rPr>
            </w:pPr>
            <w:r>
              <w:rPr>
                <w:rFonts w:hint="eastAsia" w:ascii="宋体" w:hAnsi="宋体" w:cs="宋体"/>
                <w:sz w:val="18"/>
                <w:szCs w:val="18"/>
                <w:lang w:bidi="ar"/>
              </w:rPr>
              <w:t xml:space="preserve">供应商确认：</w:t>
            </w:r>
            <w:r/>
          </w:p>
          <w:p>
            <w:pPr>
              <w:jc w:val="left"/>
              <w:spacing w:line="560" w:lineRule="exact"/>
              <w:rPr>
                <w:rFonts w:ascii="宋体" w:hAnsi="宋体" w:cs="宋体"/>
                <w:sz w:val="18"/>
                <w:szCs w:val="18"/>
                <w:lang w:bidi="ar"/>
              </w:rPr>
            </w:pPr>
            <w:r>
              <w:rPr>
                <w:rFonts w:hint="eastAsia" w:ascii="宋体" w:hAnsi="宋体" w:cs="宋体"/>
                <w:sz w:val="18"/>
                <w:szCs w:val="18"/>
                <w:lang w:bidi="ar"/>
              </w:rPr>
              <w:t xml:space="preserve">（单位公章或授权代表签字）</w:t>
            </w:r>
            <w:r/>
          </w:p>
        </w:tc>
      </w:tr>
    </w:tbl>
    <w:p>
      <w:pPr>
        <w:ind w:firstLine="1767"/>
        <w:spacing w:before="240" w:after="240" w:line="43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ind w:firstLine="1767"/>
        <w:spacing w:before="240" w:after="240" w:line="43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ind w:firstLine="1767"/>
        <w:spacing w:before="240" w:after="240" w:line="43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ind w:firstLine="1767"/>
        <w:spacing w:before="240" w:after="240" w:line="43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ind w:firstLine="1767"/>
        <w:spacing w:before="240" w:after="240" w:line="43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ind w:firstLine="1767"/>
        <w:spacing w:before="240" w:after="240" w:line="43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tbl>
      <w:tblPr>
        <w:tblStyle w:val="80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916"/>
        <w:gridCol w:w="735"/>
        <w:gridCol w:w="3916"/>
        <w:gridCol w:w="743"/>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方正小标宋_GBK" w:hAnsi="方正小标宋_GBK" w:eastAsia="方正小标宋_GBK" w:cs="方正小标宋_GBK"/>
                <w:sz w:val="40"/>
                <w:szCs w:val="40"/>
              </w:rPr>
            </w:pPr>
            <w:r>
              <w:rPr>
                <w:rFonts w:ascii="方正小标宋_GBK" w:hAnsi="方正小标宋_GBK" w:eastAsia="方正小标宋_GBK" w:cs="方正小标宋_GBK"/>
                <w:sz w:val="40"/>
                <w:szCs w:val="40"/>
                <w:lang w:bidi="ar"/>
              </w:rPr>
              <w:t xml:space="preserve">政府采购履约验收通知单（参考样本）</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ascii="宋体" w:hAnsi="宋体" w:cs="宋体"/>
                <w:b/>
                <w:bCs/>
                <w:sz w:val="24"/>
              </w:rPr>
            </w:pPr>
            <w:r>
              <w:rPr>
                <w:rFonts w:hint="eastAsia" w:ascii="宋体" w:hAnsi="宋体" w:cs="宋体"/>
                <w:b/>
                <w:bCs/>
                <w:sz w:val="24"/>
                <w:lang w:bidi="ar"/>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ascii="宋体" w:hAnsi="宋体" w:cs="宋体"/>
                <w:b/>
                <w:bCs/>
                <w:sz w:val="24"/>
              </w:rPr>
            </w:pPr>
            <w:r>
              <w:rPr>
                <w:rFonts w:ascii="宋体" w:hAnsi="宋体" w:cs="宋体"/>
                <w:b/>
                <w:bCs/>
                <w:sz w:val="24"/>
              </w:rPr>
            </w:r>
            <w:r/>
          </w:p>
        </w:tc>
        <w:tc>
          <w:tcPr>
            <w:shd w:val="clear" w:color="auto" w:fill="auto"/>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ascii="宋体" w:hAnsi="宋体" w:cs="宋体"/>
                <w:b/>
                <w:bCs/>
                <w:sz w:val="24"/>
              </w:rPr>
            </w:pPr>
            <w:r>
              <w:rPr>
                <w:rFonts w:ascii="宋体" w:hAnsi="宋体" w:cs="宋体"/>
                <w:b/>
                <w:bCs/>
                <w:sz w:val="24"/>
              </w:rPr>
            </w:r>
            <w:r/>
          </w:p>
        </w:tc>
        <w:tc>
          <w:tcPr>
            <w:shd w:val="clear" w:color="auto" w:fill="auto"/>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ascii="宋体" w:hAnsi="宋体" w:cs="宋体"/>
                <w:b/>
                <w:bCs/>
                <w:sz w:val="24"/>
              </w:rPr>
            </w:pPr>
            <w:r>
              <w:rPr>
                <w:rFonts w:ascii="宋体" w:hAnsi="宋体" w:cs="宋体"/>
                <w:b/>
                <w:bCs/>
                <w:sz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cs="宋体"/>
                <w:b/>
                <w:bCs/>
                <w:sz w:val="24"/>
              </w:rPr>
            </w:pPr>
            <w:r>
              <w:rPr>
                <w:rFonts w:ascii="宋体" w:hAnsi="宋体" w:cs="宋体"/>
                <w:b/>
                <w:bCs/>
                <w:sz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cs="宋体"/>
                <w:b/>
                <w:bCs/>
                <w:sz w:val="24"/>
              </w:rPr>
            </w:pPr>
            <w:r>
              <w:rPr>
                <w:rFonts w:ascii="宋体" w:hAnsi="宋体" w:cs="宋体"/>
                <w:b/>
                <w:bCs/>
                <w:sz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cs="宋体"/>
                <w:b/>
                <w:bCs/>
                <w:sz w:val="24"/>
              </w:rPr>
            </w:pPr>
            <w:r>
              <w:rPr>
                <w:rFonts w:ascii="宋体" w:hAnsi="宋体" w:cs="宋体"/>
                <w:b/>
                <w:bCs/>
                <w:sz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cs="宋体"/>
                <w:b/>
                <w:bCs/>
                <w:sz w:val="24"/>
              </w:rPr>
            </w:pPr>
            <w:r>
              <w:rPr>
                <w:rFonts w:ascii="宋体" w:hAnsi="宋体" w:cs="宋体"/>
                <w:b/>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cs="宋体"/>
                <w:b/>
                <w:bCs/>
                <w:sz w:val="24"/>
              </w:rPr>
            </w:pPr>
            <w:r>
              <w:rPr>
                <w:rFonts w:ascii="宋体" w:hAnsi="宋体" w:cs="宋体"/>
                <w:b/>
                <w:bCs/>
                <w:sz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cs="宋体"/>
                <w:b/>
                <w:bCs/>
                <w:sz w:val="24"/>
              </w:rPr>
            </w:pPr>
            <w:r>
              <w:rPr>
                <w:rFonts w:ascii="宋体" w:hAnsi="宋体" w:cs="宋体"/>
                <w:b/>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cs="宋体"/>
                <w:b/>
                <w:bCs/>
                <w:sz w:val="24"/>
              </w:rPr>
            </w:pPr>
            <w:r>
              <w:rPr>
                <w:rFonts w:ascii="宋体" w:hAnsi="宋体" w:cs="宋体"/>
                <w:b/>
                <w:bCs/>
                <w:sz w:val="24"/>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cs="宋体"/>
                <w:b/>
                <w:bCs/>
                <w:sz w:val="24"/>
              </w:rPr>
            </w:pPr>
            <w:r>
              <w:rPr>
                <w:rFonts w:ascii="宋体" w:hAnsi="宋体" w:cs="宋体"/>
                <w:b/>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cs="宋体"/>
                <w:b/>
                <w:bCs/>
                <w:sz w:val="24"/>
              </w:rPr>
            </w:pPr>
            <w:r>
              <w:rPr>
                <w:rFonts w:ascii="宋体" w:hAnsi="宋体" w:cs="宋体"/>
                <w:b/>
                <w:bCs/>
                <w:sz w:val="24"/>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cs="宋体"/>
                <w:b/>
                <w:bCs/>
                <w:sz w:val="24"/>
              </w:rPr>
            </w:pPr>
            <w:r>
              <w:rPr>
                <w:rFonts w:hint="eastAsia" w:ascii="宋体" w:hAnsi="宋体" w:cs="宋体"/>
                <w:b/>
                <w:bCs/>
                <w:sz w:val="24"/>
                <w:lang w:bidi="ar"/>
              </w:rPr>
              <w:t xml:space="preserve">履约验收方案及工作要求</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widowControl/>
              <w:rPr>
                <w:rFonts w:ascii="宋体" w:hAnsi="宋体" w:cs="宋体"/>
                <w:sz w:val="24"/>
              </w:rPr>
            </w:pPr>
            <w:r>
              <w:rPr>
                <w:rFonts w:hint="eastAsia" w:ascii="宋体" w:hAnsi="宋体" w:cs="宋体"/>
                <w:sz w:val="24"/>
                <w:lang w:bidi="ar"/>
              </w:rPr>
              <w:t xml:space="preserve">        单位公章</w:t>
            </w:r>
            <w:r>
              <w:rPr>
                <w:rFonts w:hint="eastAsia" w:ascii="宋体" w:hAnsi="宋体" w:cs="宋体"/>
                <w:sz w:val="24"/>
                <w:lang w:bidi="ar"/>
              </w:rPr>
              <w:br/>
            </w:r>
            <w:r>
              <w:rPr>
                <w:rFonts w:hint="eastAsia" w:ascii="宋体" w:hAnsi="宋体" w:cs="宋体"/>
                <w:sz w:val="24"/>
                <w:lang w:bidi="ar"/>
              </w:rPr>
              <w:t xml:space="preserve">         年 月 日</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ascii="宋体" w:hAnsi="宋体" w:cs="宋体"/>
                <w:sz w:val="24"/>
              </w:rPr>
            </w:pPr>
            <w:r>
              <w:rPr>
                <w:rFonts w:ascii="宋体" w:hAnsi="宋体" w:cs="宋体"/>
                <w:sz w:val="24"/>
              </w:rPr>
            </w:r>
            <w:r/>
          </w:p>
        </w:tc>
      </w:tr>
    </w:tbl>
    <w:p>
      <w:pPr>
        <w:ind w:firstLine="1767"/>
        <w:spacing w:before="240" w:after="240" w:line="439" w:lineRule="atLeast"/>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hint="eastAsia" w:ascii="宋体" w:hAnsi="宋体" w:cs="宋体"/>
          <w:b/>
          <w:sz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r>
      <w:r/>
    </w:p>
    <w:p>
      <w:pPr>
        <w:ind w:firstLine="1767"/>
        <w:spacing w:before="240" w:after="240"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第四部分 投标文件格式</w:t>
      </w:r>
      <w:r/>
    </w:p>
    <w:p>
      <w:pPr>
        <w:jc w:val="center"/>
        <w:spacing w:line="38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说明：</w:t>
      </w:r>
      <w:r/>
    </w:p>
    <w:p>
      <w:pP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85"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对本章所有的投标书格式，投标方可根据自身情况进行补充和修改，但补充和修改不得造成与本格式内容有实质性的违背。</w:t>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1、</w:t>
      </w:r>
      <w:r>
        <w:rPr>
          <w:rFonts w:ascii="宋体" w:hAnsi="宋体" w:cs="宋体"/>
          <w:b/>
          <w:sz w:val="28"/>
        </w:rPr>
        <w:t xml:space="preserve">关于资格文件的声明函</w:t>
      </w:r>
      <w:r/>
    </w:p>
    <w:p>
      <w:pPr>
        <w:ind w:left="1260" w:firstLine="420"/>
        <w:pBdr>
          <w:top w:val="none" w:color="000000" w:sz="0" w:space="0"/>
          <w:left w:val="none" w:color="000000" w:sz="0" w:space="0"/>
          <w:bottom w:val="none" w:color="000000" w:sz="0" w:space="0"/>
          <w:right w:val="none" w:color="000000" w:sz="0" w:space="0"/>
        </w:pBdr>
      </w:pPr>
      <w:r>
        <w:rPr>
          <w:rFonts w:ascii="宋体" w:hAnsi="宋体" w:cs="宋体"/>
          <w:sz w:val="30"/>
        </w:rPr>
        <w:t xml:space="preserve"> </w:t>
      </w:r>
      <w:r/>
    </w:p>
    <w:p>
      <w:pPr>
        <w:ind w:left="1260" w:firstLine="420"/>
        <w:pBdr>
          <w:top w:val="none" w:color="000000" w:sz="0" w:space="0"/>
          <w:left w:val="none" w:color="000000" w:sz="0" w:space="0"/>
          <w:bottom w:val="none" w:color="000000" w:sz="0" w:space="0"/>
          <w:right w:val="none" w:color="000000" w:sz="0" w:space="0"/>
        </w:pBdr>
      </w:pPr>
      <w:r>
        <w:rPr>
          <w:rFonts w:ascii="宋体" w:hAnsi="宋体" w:cs="宋体"/>
          <w:sz w:val="30"/>
        </w:rPr>
        <w:t xml:space="preserve"> </w:t>
      </w:r>
      <w:r/>
    </w:p>
    <w:p>
      <w:pPr>
        <w:ind w:left="1260" w:firstLine="1770"/>
        <w:pBdr>
          <w:top w:val="none" w:color="000000" w:sz="0" w:space="0"/>
          <w:left w:val="none" w:color="000000" w:sz="0" w:space="0"/>
          <w:bottom w:val="none" w:color="000000" w:sz="0" w:space="0"/>
          <w:right w:val="none" w:color="000000" w:sz="0" w:space="0"/>
        </w:pBdr>
      </w:pPr>
      <w:r>
        <w:rPr>
          <w:rFonts w:ascii="宋体" w:hAnsi="宋体" w:cs="宋体"/>
          <w:sz w:val="30"/>
        </w:rPr>
        <w:t xml:space="preserve">关于资格文件的声明函</w:t>
      </w:r>
      <w:r/>
    </w:p>
    <w:p>
      <w:pPr>
        <w:ind w:left="1260" w:firstLine="420"/>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苏州市公共资源交易中心太仓分中心</w:t>
      </w:r>
      <w:r>
        <w:rPr>
          <w:rFonts w:ascii="宋体" w:hAnsi="宋体" w:cs="宋体"/>
          <w:sz w:val="24"/>
        </w:rPr>
        <w:t xml:space="preserve">：</w:t>
      </w:r>
      <w:r/>
    </w:p>
    <w:p>
      <w:pPr>
        <w:ind w:right="445"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本公司愿就由贵单位组织实施的编号为</w:t>
      </w:r>
      <w:r>
        <w:rPr>
          <w:rFonts w:hint="eastAsia" w:ascii="宋体" w:hAnsi="宋体" w:cs="宋体"/>
          <w:b/>
          <w:sz w:val="24"/>
          <w:u w:val="single"/>
          <w:lang w:eastAsia="zh-CN"/>
        </w:rPr>
        <w:t xml:space="preserve">JSZC-320585-JZCG-G2025-0170</w:t>
      </w:r>
      <w:r>
        <w:rPr>
          <w:rFonts w:ascii="宋体" w:hAnsi="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left="1259" w:firstLine="426"/>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法定代表人或授权代理人（签字或盖章）：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bCs/>
          <w:sz w:val="28"/>
          <w:szCs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sz w:val="28"/>
        </w:rPr>
        <w:pBdr>
          <w:top w:val="none" w:color="000000" w:sz="0" w:space="0"/>
          <w:left w:val="none" w:color="000000" w:sz="0" w:space="0"/>
          <w:bottom w:val="none" w:color="000000" w:sz="0" w:space="0"/>
          <w:right w:val="none" w:color="000000" w:sz="0" w:space="0"/>
        </w:pBdr>
      </w:pPr>
      <w:r>
        <w:rPr>
          <w:rFonts w:ascii="宋体" w:hAnsi="宋体" w:cs="宋体"/>
          <w:b/>
          <w:sz w:val="28"/>
        </w:rPr>
      </w:r>
      <w:r/>
    </w:p>
    <w:p>
      <w:pPr>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rPr>
        <w:t xml:space="preserve">2、投标承诺函</w:t>
      </w:r>
      <w:r/>
    </w:p>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投标承诺函</w:t>
      </w:r>
      <w:r/>
    </w:p>
    <w:p>
      <w:pPr>
        <w:ind w:firstLine="240"/>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u w:val="single"/>
        </w:rPr>
        <w:t xml:space="preserve">苏州市公共资源交易中心太仓分中心 </w:t>
      </w:r>
      <w:r>
        <w:rPr>
          <w:rFonts w:ascii="宋体" w:hAnsi="宋体" w:cs="宋体"/>
          <w:sz w:val="24"/>
        </w:rPr>
        <w:t xml:space="preserve">：</w:t>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我们收到贵单位</w:t>
      </w:r>
      <w:r>
        <w:rPr>
          <w:rFonts w:hint="eastAsia" w:ascii="宋体" w:hAnsi="宋体" w:cs="宋体"/>
          <w:b/>
          <w:sz w:val="24"/>
          <w:u w:val="single"/>
          <w:lang w:eastAsia="zh-CN"/>
        </w:rPr>
        <w:t xml:space="preserve">城厢镇实验小学家具采购</w:t>
      </w:r>
      <w:r>
        <w:rPr>
          <w:rFonts w:hint="eastAsia" w:ascii="宋体" w:hAnsi="宋体" w:cs="宋体"/>
          <w:b/>
          <w:sz w:val="24"/>
          <w:u w:val="single"/>
        </w:rPr>
        <w:t xml:space="preserve"> </w:t>
      </w:r>
      <w:r>
        <w:rPr>
          <w:rFonts w:ascii="宋体" w:hAnsi="宋体" w:cs="宋体"/>
          <w:sz w:val="24"/>
        </w:rPr>
        <w:t xml:space="preserve">招标文件（项目编号：</w:t>
      </w:r>
      <w:r>
        <w:rPr>
          <w:rFonts w:hint="eastAsia" w:ascii="宋体" w:hAnsi="宋体" w:cs="宋体"/>
          <w:b/>
          <w:sz w:val="24"/>
          <w:u w:val="single"/>
          <w:lang w:eastAsia="zh-CN"/>
        </w:rPr>
        <w:t xml:space="preserve">JSZC-320585-JZCG-G2025-0170</w:t>
      </w:r>
      <w:r>
        <w:rPr>
          <w:rFonts w:ascii="宋体" w:hAnsi="宋体" w:cs="宋体"/>
          <w:sz w:val="24"/>
        </w:rPr>
        <w:t xml:space="preserve"> ），经仔细阅读和研究，我们决定参加投标。</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1、我们愿意按照招标文件的一切要求，提供包括完成该项目全部内容的设备、材料及人工、机械、保险、劳保、各种税费以及质保期间的一切费用。</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2、如果我们的投标书被接受，我们将严格履行招标文件中规定的每一项要求，按期、按质、按量履行合同的义务。</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3、我们同意按招标文件中的规定，本投标书的有效期限为开标后</w:t>
      </w:r>
      <w:r>
        <w:rPr>
          <w:rFonts w:ascii="宋体" w:hAnsi="宋体" w:cs="宋体"/>
          <w:b/>
          <w:sz w:val="24"/>
          <w:u w:val="single"/>
        </w:rPr>
        <w:t xml:space="preserve">90</w:t>
      </w:r>
      <w:r>
        <w:rPr>
          <w:rFonts w:ascii="宋体" w:hAnsi="宋体" w:cs="宋体"/>
          <w:sz w:val="24"/>
        </w:rPr>
        <w:t xml:space="preserve">天。</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4、我们愿意提供招标方在招标文件中要求的所有资料。</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5、我们认为你们有权决定中标者，还认为你们有权接受或拒绝所有的投标者。</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6、我们完全理解贵方不一定要接受最低报价的投标或收到的任何投标。</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7、我们承诺该项投标在开标后的全过程中保持有效，不作任何更改和变动。</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8、</w:t>
      </w:r>
      <w:r>
        <w:rPr>
          <w:rFonts w:ascii="宋体" w:hAnsi="宋体" w:cs="宋体"/>
          <w:b/>
          <w:sz w:val="24"/>
        </w:rPr>
        <w:t xml:space="preserve">如果中标，我们同意并知晓中标通知书发出方式及发出时间，遵守招标文件和中标通知书规定，在指定时间和地点和采购人签订合同。</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9、综合说明：</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（1）伴随服务及配合措施；</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（2）要求甲方提供的配合；</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（3）对招标文件有不同意见的偏离说明；</w:t>
      </w:r>
      <w:r/>
    </w:p>
    <w:p>
      <w:pPr>
        <w:ind w:firstLine="42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（4）其它说明。</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所有有关标书的函电，请按下列地址联系：</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单位：联系人：</w:t>
      </w:r>
      <w:r>
        <w:rPr>
          <w:rFonts w:hint="eastAsia" w:ascii="宋体" w:hAnsi="宋体" w:cs="宋体"/>
          <w:sz w:val="24"/>
        </w:rPr>
        <w:t xml:space="preserve"> </w:t>
      </w:r>
      <w:r>
        <w:rPr>
          <w:rFonts w:ascii="宋体" w:hAnsi="宋体" w:cs="宋体"/>
          <w:sz w:val="24"/>
        </w:rPr>
        <w:t xml:space="preserve">                    地址：邮政编码：</w:t>
      </w:r>
      <w:r/>
    </w:p>
    <w:p>
      <w:pPr>
        <w:ind w:firstLine="48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联系电话：传真：</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法定代表人或授权代理人（签字或盖章）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312" w:lineRule="atLeast"/>
        <w:pBdr>
          <w:top w:val="none" w:color="000000" w:sz="0" w:space="0"/>
          <w:left w:val="none" w:color="000000" w:sz="0" w:space="0"/>
          <w:bottom w:val="none" w:color="000000" w:sz="0" w:space="0"/>
          <w:right w:val="none" w:color="000000" w:sz="0" w:space="0"/>
        </w:pBdr>
      </w:pPr>
      <w:r>
        <w:br w:type="page" w:clear="all"/>
      </w:r>
      <w:r/>
    </w:p>
    <w:p>
      <w:pPr>
        <w:spacing w:line="312"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3、参加政府采购活动前三年内，在经营活动中没有重大违法记录声明</w:t>
      </w:r>
      <w:r/>
    </w:p>
    <w:p>
      <w:pPr>
        <w:ind w:left="-210" w:right="-210"/>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jc w:val="center"/>
        <w:spacing w:line="85"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jc w:val="center"/>
        <w:spacing w:line="85"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参加政府采购活动前三年内，在经营活动中没有重大违法记录声明</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致：苏州市公共资源交易中心太仓分中心：</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我单位</w:t>
      </w:r>
      <w:r>
        <w:rPr>
          <w:rFonts w:ascii="宋体" w:hAnsi="宋体" w:cs="宋体"/>
          <w:sz w:val="24"/>
          <w:u w:val="single"/>
        </w:rPr>
        <w:t xml:space="preserve">         （供应商名称）</w:t>
      </w:r>
      <w:r>
        <w:rPr>
          <w:rFonts w:ascii="宋体" w:hAnsi="宋体" w:cs="宋体"/>
          <w:sz w:val="24"/>
        </w:rPr>
        <w:t xml:space="preserve"> 在参加政府采购活动前三年内，没有重大违法记录，特此声明。</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若采购代理机构在本项目采购过程中发现我单位近三年内在经营活动中有重大违法记录，我单位将无条件退出本项目的招标，并承担因此引起的一起后果。</w:t>
      </w:r>
      <w:r/>
    </w:p>
    <w:p>
      <w:pPr>
        <w:ind w:firstLine="42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法定代表人（负责人）或代理人（签字或盖章）：</w:t>
      </w:r>
      <w:r/>
    </w:p>
    <w:p>
      <w:pPr>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500" w:lineRule="exact"/>
        <w:pBdr>
          <w:top w:val="none" w:color="000000" w:sz="0" w:space="0"/>
          <w:left w:val="none" w:color="000000" w:sz="0" w:space="0"/>
          <w:bottom w:val="none" w:color="000000" w:sz="0" w:space="0"/>
          <w:right w:val="none" w:color="000000" w:sz="0" w:space="0"/>
        </w:pBdr>
      </w:pPr>
      <w:r>
        <w:br w:type="page" w:clear="all"/>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z w:val="28"/>
        </w:rPr>
        <w:t xml:space="preserve">4、投标单位情况表</w:t>
      </w:r>
      <w:r/>
    </w:p>
    <w:p>
      <w:pPr>
        <w:ind w:left="1260" w:firstLine="2175"/>
        <w:pBdr>
          <w:top w:val="none" w:color="000000" w:sz="0" w:space="0"/>
          <w:left w:val="none" w:color="000000" w:sz="0" w:space="0"/>
          <w:bottom w:val="none" w:color="000000" w:sz="0" w:space="0"/>
          <w:right w:val="none" w:color="000000" w:sz="0" w:space="0"/>
        </w:pBdr>
      </w:pPr>
      <w:r>
        <w:rPr>
          <w:rFonts w:ascii="宋体" w:hAnsi="宋体" w:cs="宋体"/>
          <w:sz w:val="30"/>
        </w:rPr>
        <w:t xml:space="preserve">投标单位情况表</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单位名称（盖章）：</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pBdr>
                <w:top w:val="none" w:color="000000" w:sz="0" w:space="0"/>
                <w:left w:val="none" w:color="000000" w:sz="0" w:space="0"/>
                <w:bottom w:val="none" w:color="000000" w:sz="0" w:space="0"/>
                <w:right w:val="none" w:color="000000" w:sz="0" w:space="0"/>
              </w:pBdr>
            </w:pPr>
            <w:r>
              <w:rPr>
                <w:rFonts w:ascii="宋体" w:hAnsi="宋体" w:cs="宋体"/>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sz w:val="24"/>
              </w:rPr>
              <w:t xml:space="preserve">202</w:t>
            </w:r>
            <w:r>
              <w:rPr>
                <w:rFonts w:hint="eastAsia" w:ascii="宋体" w:hAnsi="宋体" w:cs="宋体"/>
                <w:b/>
                <w:sz w:val="24"/>
              </w:rPr>
              <w:t xml:space="preserve">4</w:t>
            </w:r>
            <w:r>
              <w:rPr>
                <w:rFonts w:ascii="宋体" w:hAnsi="宋体" w:cs="宋体"/>
                <w:b/>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b/>
                <w:sz w:val="24"/>
              </w:rPr>
              <w:t xml:space="preserve">202</w:t>
            </w:r>
            <w:r>
              <w:rPr>
                <w:rFonts w:hint="eastAsia" w:ascii="宋体" w:hAnsi="宋体" w:cs="宋体"/>
                <w:b/>
                <w:sz w:val="24"/>
              </w:rPr>
              <w:t xml:space="preserve">4</w:t>
            </w:r>
            <w:r>
              <w:rPr>
                <w:rFonts w:ascii="宋体" w:hAnsi="宋体" w:cs="宋体"/>
                <w:b/>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自有面积平方米</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5、法定代表人授权委托书 （如有）</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center"/>
        <w:pBdr>
          <w:top w:val="none" w:color="000000" w:sz="0" w:space="0"/>
          <w:left w:val="none" w:color="000000" w:sz="0" w:space="0"/>
          <w:bottom w:val="none" w:color="000000" w:sz="0" w:space="0"/>
          <w:right w:val="none" w:color="000000" w:sz="0" w:space="0"/>
        </w:pBdr>
      </w:pPr>
      <w:r>
        <w:rPr>
          <w:rFonts w:ascii="宋体" w:hAnsi="宋体" w:cs="宋体"/>
          <w:sz w:val="32"/>
        </w:rPr>
        <w:t xml:space="preserve">授权委托书</w:t>
      </w:r>
      <w:r/>
    </w:p>
    <w:p>
      <w:pPr>
        <w:ind w:firstLine="420"/>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本授权委托书声明：我</w:t>
      </w:r>
      <w:r>
        <w:rPr>
          <w:rFonts w:ascii="宋体" w:hAnsi="宋体" w:cs="宋体"/>
          <w:sz w:val="24"/>
          <w:u w:val="single"/>
        </w:rPr>
        <w:t xml:space="preserve">（姓名）</w:t>
      </w:r>
      <w:r>
        <w:rPr>
          <w:rFonts w:ascii="宋体" w:hAnsi="宋体" w:cs="宋体"/>
          <w:sz w:val="24"/>
        </w:rPr>
        <w:t xml:space="preserve">系</w:t>
      </w:r>
      <w:r>
        <w:rPr>
          <w:rFonts w:ascii="宋体" w:hAnsi="宋体" w:cs="宋体"/>
          <w:sz w:val="24"/>
          <w:u w:val="single"/>
        </w:rPr>
        <w:t xml:space="preserve">（投标单位名称）</w:t>
      </w:r>
      <w:r>
        <w:rPr>
          <w:rFonts w:ascii="宋体" w:hAnsi="宋体" w:cs="宋体"/>
          <w:sz w:val="24"/>
        </w:rPr>
        <w:t xml:space="preserve">的法定代表人，现授权委托</w:t>
      </w:r>
      <w:r>
        <w:rPr>
          <w:rFonts w:ascii="宋体" w:hAnsi="宋体" w:cs="宋体"/>
          <w:sz w:val="24"/>
          <w:u w:val="single"/>
        </w:rPr>
        <w:t xml:space="preserve">（单位名称）</w:t>
      </w:r>
      <w:r>
        <w:rPr>
          <w:rFonts w:ascii="宋体" w:hAnsi="宋体" w:cs="宋体"/>
          <w:sz w:val="24"/>
        </w:rPr>
        <w:t xml:space="preserve">的</w:t>
      </w:r>
      <w:r>
        <w:rPr>
          <w:rFonts w:ascii="宋体" w:hAnsi="宋体" w:cs="宋体"/>
          <w:sz w:val="24"/>
          <w:u w:val="single"/>
        </w:rPr>
        <w:t xml:space="preserve">（姓名）</w:t>
      </w:r>
      <w:r>
        <w:rPr>
          <w:rFonts w:ascii="宋体" w:hAnsi="宋体" w:cs="宋体"/>
          <w:sz w:val="24"/>
        </w:rPr>
        <w:t xml:space="preserve">为我公司代理人，以本公司的名义参加</w:t>
      </w:r>
      <w:r>
        <w:rPr>
          <w:rFonts w:ascii="宋体" w:hAnsi="宋体" w:cs="宋体"/>
          <w:b/>
          <w:sz w:val="24"/>
          <w:u w:val="single"/>
        </w:rPr>
        <w:t xml:space="preserve">苏州市公共资源交易中心太仓分中心</w:t>
      </w:r>
      <w:r>
        <w:rPr>
          <w:rFonts w:ascii="宋体" w:hAnsi="宋体" w:cs="宋体"/>
          <w:sz w:val="24"/>
        </w:rPr>
        <w:t xml:space="preserve">组织实施的编号为</w:t>
      </w:r>
      <w:r>
        <w:rPr>
          <w:rFonts w:hint="eastAsia" w:ascii="宋体" w:hAnsi="宋体" w:cs="宋体"/>
          <w:b/>
          <w:sz w:val="24"/>
          <w:u w:val="single"/>
          <w:lang w:eastAsia="zh-CN"/>
        </w:rPr>
        <w:t xml:space="preserve">JSZC-320585-JZCG-G2025-0170</w:t>
      </w:r>
      <w:r>
        <w:rPr>
          <w:rFonts w:ascii="宋体" w:hAnsi="宋体" w:cs="宋体"/>
          <w:sz w:val="24"/>
        </w:rPr>
        <w:t xml:space="preserve">号的招标活动。代理人在开标、评标、合同谈判过程中所签署的一切文件和处理与这有关的一切事务，我均予以承认。</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代理人无转委托权。特此委托！</w:t>
      </w:r>
      <w:r/>
    </w:p>
    <w:p>
      <w:pPr>
        <w:ind w:firstLine="420"/>
        <w:spacing w:line="48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spacing w:line="48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20"/>
        <w:spacing w:line="48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20"/>
        <w:spacing w:line="480" w:lineRule="exact"/>
        <w:pBdr>
          <w:top w:val="none" w:color="000000" w:sz="0" w:space="0"/>
          <w:left w:val="none" w:color="000000" w:sz="0" w:space="0"/>
          <w:bottom w:val="none" w:color="000000" w:sz="0" w:space="0"/>
          <w:right w:val="none" w:color="000000" w:sz="0" w:space="0"/>
        </w:pBdr>
      </w:pPr>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法定代表人：（签字或盖章）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授权代理人：（签字或盖章）</w:t>
      </w:r>
      <w:r/>
    </w:p>
    <w:p>
      <w:pPr>
        <w:spacing w:line="48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480" w:lineRule="exact"/>
        <w:pBdr>
          <w:top w:val="none" w:color="000000" w:sz="0" w:space="0"/>
          <w:left w:val="none" w:color="000000" w:sz="0" w:space="0"/>
          <w:bottom w:val="none" w:color="000000" w:sz="0" w:space="0"/>
          <w:right w:val="none" w:color="000000" w:sz="0" w:space="0"/>
        </w:pBdr>
      </w:pPr>
      <w:r>
        <w:br w:type="page" w:clear="all"/>
      </w:r>
      <w:r/>
    </w:p>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b/>
          <w:sz w:val="32"/>
        </w:rPr>
        <w:t xml:space="preserve">6、开标一览表</w:t>
      </w:r>
      <w:r/>
    </w:p>
    <w:p>
      <w:pPr>
        <w:pBdr>
          <w:top w:val="none" w:color="000000" w:sz="0" w:space="0"/>
          <w:left w:val="none" w:color="000000" w:sz="0" w:space="0"/>
          <w:bottom w:val="none" w:color="000000" w:sz="0" w:space="0"/>
          <w:right w:val="none" w:color="000000" w:sz="0" w:space="0"/>
        </w:pBdr>
      </w:pPr>
      <w:r>
        <w:rPr>
          <w:rFonts w:ascii="宋体" w:hAnsi="宋体" w:cs="宋体"/>
          <w:b/>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2"/>
        </w:rPr>
        <w:t xml:space="preserve">开标一览表</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720"/>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投标人全称（加盖公章）：供应商名称</w:t>
      </w:r>
      <w:r/>
    </w:p>
    <w:p>
      <w:pPr>
        <w:ind w:firstLine="72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项目编号：</w:t>
      </w:r>
      <w:r>
        <w:rPr>
          <w:rFonts w:hint="eastAsia" w:ascii="宋体" w:hAnsi="宋体" w:cs="宋体"/>
          <w:sz w:val="24"/>
          <w:lang w:eastAsia="zh-CN"/>
        </w:rPr>
        <w:t xml:space="preserve">JSZC-320585-JZCG-G2025-0170</w:t>
      </w:r>
      <w:r/>
    </w:p>
    <w:p>
      <w:pPr>
        <w:pStyle w:val="803"/>
        <w:rPr>
          <w:lang w:eastAsia="zh-CN"/>
        </w:rPr>
      </w:pPr>
      <w:r>
        <w:rPr>
          <w:lang w:eastAsia="zh-CN"/>
        </w:rPr>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66"/>
        <w:gridCol w:w="524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城厢镇实验小学家具采购</w:t>
            </w:r>
            <w:r>
              <w:rPr>
                <w:rFonts w:hint="eastAsia"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金额大写：</w:t>
            </w:r>
            <w:r/>
          </w:p>
        </w:tc>
      </w:tr>
    </w:tbl>
    <w:p>
      <w:pPr>
        <w:ind w:firstLine="723"/>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ind w:firstLine="3360"/>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日期：</w:t>
      </w:r>
      <w:r>
        <w:rPr>
          <w:rFonts w:hint="eastAsia" w:ascii="宋体" w:hAnsi="宋体" w:cs="宋体"/>
          <w:sz w:val="24"/>
        </w:rPr>
        <w:t xml:space="preserve"> </w:t>
      </w:r>
      <w:r>
        <w:rPr>
          <w:rFonts w:ascii="宋体" w:hAnsi="宋体" w:cs="宋体"/>
          <w:sz w:val="24"/>
        </w:rPr>
        <w:t xml:space="preserve">年</w:t>
      </w:r>
      <w:r>
        <w:rPr>
          <w:rFonts w:hint="eastAsia" w:ascii="宋体" w:hAnsi="宋体" w:cs="宋体"/>
          <w:sz w:val="24"/>
        </w:rPr>
        <w:t xml:space="preserve"> </w:t>
      </w:r>
      <w:r>
        <w:rPr>
          <w:rFonts w:ascii="宋体" w:hAnsi="宋体" w:cs="宋体"/>
          <w:sz w:val="24"/>
        </w:rPr>
        <w:t xml:space="preserve">月</w:t>
      </w:r>
      <w:r>
        <w:rPr>
          <w:rFonts w:hint="eastAsia" w:ascii="宋体" w:hAnsi="宋体" w:cs="宋体"/>
          <w:sz w:val="24"/>
        </w:rPr>
        <w:t xml:space="preserve"> </w:t>
      </w:r>
      <w:r>
        <w:rPr>
          <w:rFonts w:ascii="宋体" w:hAnsi="宋体" w:cs="宋体"/>
          <w:sz w:val="24"/>
        </w:rPr>
        <w:t xml:space="preserve">日</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sz w:val="28"/>
        </w:rPr>
        <w:t xml:space="preserve">7、投标报价明细表</w:t>
      </w:r>
      <w:r/>
    </w:p>
    <w:p>
      <w:pPr>
        <w:ind w:firstLine="3012"/>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ind w:firstLine="2811"/>
        <w:pBdr>
          <w:top w:val="none" w:color="000000" w:sz="0" w:space="0"/>
          <w:left w:val="none" w:color="000000" w:sz="0" w:space="0"/>
          <w:bottom w:val="none" w:color="000000" w:sz="0" w:space="0"/>
          <w:right w:val="none" w:color="000000" w:sz="0" w:space="0"/>
        </w:pBdr>
      </w:pPr>
      <w:r>
        <w:rPr>
          <w:rFonts w:ascii="宋体" w:hAnsi="宋体" w:cs="宋体"/>
          <w:b/>
          <w:sz w:val="28"/>
        </w:rPr>
        <w:t xml:space="preserve">（一）投标报价明细表</w:t>
      </w:r>
      <w:r/>
    </w:p>
    <w:p>
      <w:pPr>
        <w:ind w:firstLine="3012"/>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tbl>
      <w:tblPr>
        <w:tblStyle w:val="800"/>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rFonts w:hAnsi="宋体"/>
                <w:bCs/>
                <w:sz w:val="24"/>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rFonts w:hAnsi="宋体"/>
                <w:bCs/>
                <w:sz w:val="24"/>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rFonts w:hAnsi="宋体"/>
                <w:bCs/>
                <w:sz w:val="24"/>
              </w:rPr>
              <w:t xml:space="preserve">品牌、规格、型号</w:t>
            </w:r>
            <w:r>
              <w:rPr>
                <w:rFonts w:hint="eastAsia" w:hAnsi="宋体"/>
                <w:bCs/>
                <w:sz w:val="24"/>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rFonts w:hAnsi="宋体"/>
                <w:bCs/>
                <w:sz w:val="24"/>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bCs/>
                <w:sz w:val="24"/>
              </w:rPr>
            </w:pPr>
            <w:r>
              <w:rPr>
                <w:rFonts w:hAnsi="宋体"/>
                <w:bCs/>
                <w:sz w:val="24"/>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bCs/>
                <w:sz w:val="24"/>
              </w:rPr>
            </w:pPr>
            <w:r>
              <w:rPr>
                <w:rFonts w:hAnsi="宋体"/>
                <w:bCs/>
                <w:sz w:val="24"/>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rFonts w:hAnsi="宋体"/>
                <w:bCs/>
                <w:sz w:val="24"/>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rFonts w:hAnsi="宋体"/>
                <w:bCs/>
                <w:sz w:val="24"/>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rFonts w:hAnsi="宋体"/>
                <w:bCs/>
                <w:sz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rPr>
            </w:pPr>
            <w:r>
              <w:rPr>
                <w:bCs/>
                <w:sz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rPr>
            </w:pPr>
            <w:r>
              <w:rPr>
                <w:bCs/>
                <w:sz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rPr>
            </w:pPr>
            <w:r>
              <w:rPr>
                <w:bCs/>
                <w:sz w:val="24"/>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bCs/>
                <w:sz w:val="24"/>
              </w:rPr>
            </w:pPr>
            <w:r>
              <w:rPr>
                <w:rFonts w:hAnsi="宋体"/>
                <w:bCs/>
                <w:sz w:val="24"/>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bCs/>
                <w:sz w:val="24"/>
              </w:rPr>
            </w:pPr>
            <w:r>
              <w:rPr>
                <w:rFonts w:hAnsi="宋体"/>
                <w:bCs/>
                <w:sz w:val="24"/>
              </w:rPr>
              <w:t xml:space="preserve">大写：元</w:t>
            </w:r>
            <w:r>
              <w:rPr>
                <w:rFonts w:hint="eastAsia" w:hAnsi="宋体"/>
                <w:bCs/>
                <w:sz w:val="24"/>
              </w:rPr>
              <w:t xml:space="preserve">； 小写：               元</w:t>
            </w:r>
            <w:r/>
          </w:p>
        </w:tc>
      </w:tr>
    </w:tbl>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注：</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w:t>
      </w:r>
      <w:r>
        <w:rPr>
          <w:rFonts w:hint="eastAsia" w:ascii="宋体" w:hAnsi="宋体" w:cs="宋体"/>
          <w:sz w:val="24"/>
        </w:rPr>
        <w:t xml:space="preserve">、</w:t>
      </w:r>
      <w:r>
        <w:rPr>
          <w:rFonts w:ascii="宋体" w:hAnsi="宋体" w:cs="宋体"/>
          <w:sz w:val="24"/>
        </w:rPr>
        <w:t xml:space="preserve">本表报价的合计金额应与开标一览表报价一致</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2、本表中货物内容根据标的物填写品牌、型号、规格等信息，若涉及服务内容的，根据服务分项名称填写服务说明等内容。</w:t>
      </w:r>
      <w:r/>
    </w:p>
    <w:p>
      <w:pPr>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投标单位：（公章）</w:t>
      </w:r>
      <w:r/>
    </w:p>
    <w:p>
      <w:pPr>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法定代表人或委托代理人（签字或盖章）： </w:t>
      </w:r>
      <w:r/>
    </w:p>
    <w:p>
      <w:pPr>
        <w:spacing w:line="499" w:lineRule="atLeast"/>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 月 日</w:t>
      </w:r>
      <w:r/>
    </w:p>
    <w:p>
      <w:pPr>
        <w:ind w:firstLine="1506"/>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t xml:space="preserve"> </w:t>
      </w:r>
      <w:r/>
    </w:p>
    <w:p>
      <w:pPr>
        <w:ind w:firstLine="1506"/>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ind w:firstLine="1506"/>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ind w:firstLine="1506"/>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ind w:firstLine="1506"/>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ind w:firstLine="1506"/>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ind w:firstLine="1506"/>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ind w:firstLine="1506"/>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ind w:firstLine="1506"/>
        <w:rPr>
          <w:rFonts w:ascii="宋体" w:hAnsi="宋体" w:cs="宋体"/>
          <w:b/>
          <w:sz w:val="30"/>
        </w:rPr>
        <w:pBdr>
          <w:top w:val="none" w:color="000000" w:sz="0" w:space="0"/>
          <w:left w:val="none" w:color="000000" w:sz="0" w:space="0"/>
          <w:bottom w:val="none" w:color="000000" w:sz="0" w:space="0"/>
          <w:right w:val="none" w:color="000000" w:sz="0" w:space="0"/>
        </w:pBdr>
      </w:pPr>
      <w:r>
        <w:rPr>
          <w:rFonts w:ascii="宋体" w:hAnsi="宋体" w:cs="宋体"/>
          <w:b/>
          <w:sz w:val="30"/>
        </w:rPr>
      </w:r>
      <w:r/>
    </w:p>
    <w:p>
      <w:pPr>
        <w:ind w:firstLine="1506"/>
        <w:pBdr>
          <w:top w:val="none" w:color="000000" w:sz="0" w:space="0"/>
          <w:left w:val="none" w:color="000000" w:sz="0" w:space="0"/>
          <w:bottom w:val="none" w:color="000000" w:sz="0" w:space="0"/>
          <w:right w:val="none" w:color="000000" w:sz="0" w:space="0"/>
        </w:pBdr>
      </w:pPr>
      <w:r/>
      <w:r/>
    </w:p>
    <w:p>
      <w:pPr>
        <w:spacing w:line="312"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1506"/>
        <w:rPr>
          <w:rFonts w:ascii="宋体" w:hAnsi="宋体"/>
          <w:b/>
          <w:bCs/>
        </w:rPr>
      </w:pPr>
      <w:r>
        <w:rPr>
          <w:rFonts w:hint="eastAsia" w:ascii="宋体" w:hAnsi="宋体"/>
          <w:b/>
          <w:sz w:val="30"/>
          <w:szCs w:val="30"/>
        </w:rPr>
        <w:t xml:space="preserve">（二）投标报价合理性说明（如有）</w:t>
      </w:r>
      <w:r/>
    </w:p>
    <w:p>
      <w:pPr>
        <w:spacing w:line="420" w:lineRule="exact"/>
        <w:rPr>
          <w:rFonts w:ascii="宋体" w:hAnsi="宋体"/>
          <w:b/>
        </w:rPr>
      </w:pPr>
      <w:r>
        <w:rPr>
          <w:rFonts w:ascii="宋体" w:hAnsi="宋体"/>
          <w:b/>
        </w:rPr>
      </w:r>
      <w:r/>
    </w:p>
    <w:p>
      <w:pPr>
        <w:ind w:firstLine="482"/>
        <w:spacing w:line="420" w:lineRule="exact"/>
        <w:rPr>
          <w:rFonts w:ascii="宋体" w:hAnsi="宋体" w:cs="宋体"/>
          <w:b/>
          <w:sz w:val="24"/>
        </w:rPr>
      </w:pPr>
      <w:r>
        <w:rPr>
          <w:rFonts w:hint="eastAsia" w:ascii="宋体" w:hAnsi="宋体" w:cs="宋体"/>
          <w:b/>
          <w:sz w:val="24"/>
        </w:rPr>
        <w:t xml:space="preserve">注：根据 “采购人须知” 中异常低价审核相关条款规定，若投标人的投标（响应）报价满足以下任一条件：</w:t>
      </w:r>
      <w:r/>
    </w:p>
    <w:p>
      <w:pPr>
        <w:ind w:firstLine="482"/>
        <w:spacing w:line="420" w:lineRule="exact"/>
        <w:rPr>
          <w:rFonts w:ascii="宋体" w:hAnsi="宋体" w:cs="宋体"/>
          <w:b/>
          <w:sz w:val="24"/>
        </w:rPr>
      </w:pPr>
      <w:r>
        <w:rPr>
          <w:rFonts w:hint="eastAsia" w:ascii="宋体" w:hAnsi="宋体" w:cs="宋体"/>
          <w:b/>
          <w:sz w:val="24"/>
        </w:rPr>
        <w:t xml:space="preserve">1）低于采购项目预算的 50%；</w:t>
      </w:r>
      <w:r/>
    </w:p>
    <w:p>
      <w:pPr>
        <w:ind w:firstLine="482"/>
        <w:spacing w:line="420" w:lineRule="exact"/>
        <w:rPr>
          <w:rFonts w:ascii="宋体" w:hAnsi="宋体" w:cs="宋体"/>
          <w:b/>
          <w:sz w:val="24"/>
        </w:rPr>
      </w:pPr>
      <w:r>
        <w:rPr>
          <w:rFonts w:hint="eastAsia" w:ascii="宋体" w:hAnsi="宋体" w:cs="宋体"/>
          <w:b/>
          <w:sz w:val="24"/>
        </w:rPr>
        <w:t xml:space="preserve">2）低于采购项目最高限价的 45%（即投标 / 响应报价＜采购项目最高限价 ×45%），</w:t>
      </w:r>
      <w:r/>
    </w:p>
    <w:p>
      <w:pPr>
        <w:ind w:firstLine="482"/>
        <w:spacing w:line="420" w:lineRule="exact"/>
        <w:rPr>
          <w:rFonts w:ascii="宋体" w:hAnsi="宋体" w:cs="宋体"/>
          <w:b/>
          <w:sz w:val="24"/>
        </w:rPr>
      </w:pPr>
      <w:r>
        <w:rPr>
          <w:rFonts w:hint="eastAsia" w:ascii="宋体" w:hAnsi="宋体" w:cs="宋体"/>
          <w:b/>
          <w:sz w:val="24"/>
        </w:rPr>
        <w:t xml:space="preserve">请投标人提前在投标文件中提供与报价合理性相关的材料，包括但不限于项目具体成本测算、书面说明及相关证明文件，对投标（响应）价格作出详细解释。</w:t>
      </w:r>
      <w:r/>
    </w:p>
    <w:p>
      <w:pPr>
        <w:ind w:firstLine="482"/>
        <w:spacing w:line="420" w:lineRule="exact"/>
        <w:rPr>
          <w:rFonts w:ascii="宋体" w:hAnsi="宋体" w:cs="宋体"/>
          <w:b/>
          <w:sz w:val="24"/>
        </w:rPr>
      </w:pPr>
      <w:r>
        <w:rPr>
          <w:rFonts w:hint="eastAsia" w:ascii="宋体" w:hAnsi="宋体" w:cs="宋体"/>
          <w:b/>
          <w:sz w:val="24"/>
        </w:rPr>
        <w:t xml:space="preserve">评审委员会将结合同类产品在主要电商平台的公开价格、行业当地薪资水平等客观依据，凭借专业经验对供应商报价的合理性进行综合判定。若投标（响应）供应商未按要求提供书面说明及证明材料，或提供的材料无法证明其报价合理性，评审委员会将按无效投标（响应）处理。</w:t>
      </w:r>
      <w:r/>
    </w:p>
    <w:p>
      <w:pPr>
        <w:spacing w:line="420" w:lineRule="exact"/>
        <w:rPr>
          <w:rFonts w:ascii="宋体" w:hAnsi="宋体"/>
          <w:b/>
        </w:rPr>
      </w:pPr>
      <w:r>
        <w:rPr>
          <w:rFonts w:ascii="宋体" w:hAnsi="宋体"/>
          <w:b/>
        </w:rPr>
      </w:r>
      <w:r/>
    </w:p>
    <w:p>
      <w:pPr>
        <w:spacing w:line="420" w:lineRule="exact"/>
        <w:rPr>
          <w:rFonts w:ascii="宋体" w:hAnsi="宋体"/>
          <w:b/>
        </w:rPr>
      </w:pPr>
      <w:r>
        <w:rPr>
          <w:rFonts w:ascii="宋体" w:hAnsi="宋体"/>
          <w:b/>
        </w:rPr>
      </w:r>
      <w:r/>
    </w:p>
    <w:p>
      <w:pPr>
        <w:spacing w:line="420" w:lineRule="exact"/>
        <w:rPr>
          <w:rFonts w:ascii="宋体" w:hAnsi="宋体"/>
          <w:b/>
        </w:rPr>
      </w:pPr>
      <w:r>
        <w:rPr>
          <w:rFonts w:ascii="宋体" w:hAnsi="宋体"/>
          <w:b/>
        </w:rPr>
      </w:r>
      <w:r/>
    </w:p>
    <w:p>
      <w:pPr>
        <w:spacing w:line="420" w:lineRule="exact"/>
        <w:rPr>
          <w:rFonts w:ascii="宋体" w:hAnsi="宋体"/>
          <w:b/>
          <w:sz w:val="24"/>
        </w:rPr>
      </w:pPr>
      <w:r>
        <w:rPr>
          <w:rFonts w:ascii="宋体" w:hAnsi="宋体"/>
          <w:b/>
          <w:sz w:val="24"/>
        </w:rPr>
      </w:r>
      <w:r/>
    </w:p>
    <w:p>
      <w:pPr>
        <w:spacing w:line="420" w:lineRule="exact"/>
        <w:rPr>
          <w:rFonts w:ascii="宋体" w:hAnsi="宋体"/>
          <w:b/>
          <w:sz w:val="24"/>
        </w:rPr>
      </w:pPr>
      <w:r>
        <w:rPr>
          <w:rFonts w:ascii="宋体" w:hAnsi="宋体"/>
          <w:b/>
          <w:sz w:val="24"/>
        </w:rPr>
      </w:r>
      <w:r/>
    </w:p>
    <w:p>
      <w:pPr>
        <w:spacing w:line="480" w:lineRule="exact"/>
        <w:rPr>
          <w:rFonts w:asciiTheme="minorEastAsia" w:hAnsiTheme="minorEastAsia"/>
          <w:sz w:val="24"/>
        </w:rPr>
      </w:pPr>
      <w:r>
        <w:rPr>
          <w:rFonts w:asciiTheme="minorEastAsia" w:hAnsiTheme="minorEastAsia"/>
          <w:sz w:val="24"/>
        </w:rPr>
      </w:r>
      <w:r/>
    </w:p>
    <w:p>
      <w:pPr>
        <w:spacing w:line="480" w:lineRule="exact"/>
        <w:rPr>
          <w:rFonts w:asciiTheme="minorEastAsia" w:hAnsiTheme="minorEastAsia"/>
          <w:sz w:val="24"/>
        </w:rPr>
      </w:pPr>
      <w:r>
        <w:rPr>
          <w:rFonts w:asciiTheme="minorEastAsia" w:hAnsiTheme="minorEastAsia"/>
          <w:sz w:val="24"/>
        </w:rPr>
      </w:r>
      <w:r/>
    </w:p>
    <w:p>
      <w:pPr>
        <w:spacing w:line="480" w:lineRule="exact"/>
        <w:rPr>
          <w:rFonts w:asciiTheme="minorEastAsia" w:hAnsiTheme="minorEastAsia"/>
          <w:sz w:val="24"/>
        </w:rPr>
      </w:pPr>
      <w:r>
        <w:rPr>
          <w:rFonts w:hint="eastAsia" w:asciiTheme="minorEastAsia" w:hAnsiTheme="minorEastAsia"/>
          <w:sz w:val="24"/>
        </w:rPr>
        <w:t xml:space="preserve">投标单位：（公章）</w:t>
      </w:r>
      <w:r/>
    </w:p>
    <w:p>
      <w:pPr>
        <w:spacing w:line="480" w:lineRule="exact"/>
        <w:rPr>
          <w:rFonts w:asciiTheme="minorEastAsia" w:hAnsiTheme="minorEastAsia"/>
          <w:sz w:val="24"/>
        </w:rPr>
      </w:pPr>
      <w:r>
        <w:rPr>
          <w:rFonts w:hint="eastAsia" w:asciiTheme="minorEastAsia" w:hAnsiTheme="minorEastAsia"/>
          <w:sz w:val="24"/>
        </w:rPr>
        <w:t xml:space="preserve">法定代表人或委托代理人（签字或盖章）： </w:t>
      </w:r>
      <w:r/>
    </w:p>
    <w:p>
      <w:pPr>
        <w:pStyle w:val="806"/>
        <w:spacing w:line="480" w:lineRule="exact"/>
        <w:rPr>
          <w:rFonts w:asciiTheme="minorEastAsia" w:hAnsiTheme="minorEastAsia"/>
          <w:sz w:val="24"/>
        </w:rPr>
      </w:pPr>
      <w:r>
        <w:rPr>
          <w:rFonts w:hint="eastAsia" w:asciiTheme="minorEastAsia" w:hAnsiTheme="minorEastAsia"/>
          <w:sz w:val="24"/>
        </w:rPr>
        <w:t xml:space="preserve">投标日期：    年   月   日</w:t>
      </w:r>
      <w:r/>
    </w:p>
    <w:p>
      <w:pPr>
        <w:spacing w:line="480" w:lineRule="exact"/>
        <w:pBdr>
          <w:top w:val="none" w:color="000000" w:sz="0" w:space="0"/>
          <w:left w:val="none" w:color="000000" w:sz="0" w:space="0"/>
          <w:bottom w:val="none" w:color="000000" w:sz="0" w:space="0"/>
          <w:right w:val="none" w:color="000000" w:sz="0" w:space="0"/>
        </w:pBdr>
      </w:pPr>
      <w:r>
        <w:br w:type="page" w:clear="all"/>
      </w:r>
      <w:r/>
    </w:p>
    <w:p>
      <w:pPr>
        <w:pStyle w:val="806"/>
        <w:rPr>
          <w:rFonts w:hAnsi="宋体"/>
          <w:b/>
          <w:sz w:val="32"/>
          <w:szCs w:val="32"/>
        </w:rPr>
      </w:pPr>
      <w:r>
        <w:rPr>
          <w:rFonts w:hint="eastAsia" w:hAnsi="宋体"/>
          <w:b/>
          <w:sz w:val="32"/>
          <w:szCs w:val="32"/>
        </w:rPr>
        <w:t xml:space="preserve">8、投标货物数量、品牌规格、材质、性能、交货期说明表</w:t>
      </w:r>
      <w:r/>
    </w:p>
    <w:p>
      <w:pPr>
        <w:pStyle w:val="806"/>
        <w:ind w:firstLine="1417"/>
        <w:rPr>
          <w:rFonts w:hAnsi="宋体"/>
          <w:b/>
          <w:sz w:val="24"/>
        </w:rPr>
      </w:pPr>
      <w:r>
        <w:rPr>
          <w:rFonts w:hAnsi="宋体"/>
          <w:b/>
          <w:sz w:val="24"/>
        </w:rPr>
      </w:r>
      <w:r/>
    </w:p>
    <w:p>
      <w:pPr>
        <w:pStyle w:val="806"/>
        <w:ind w:firstLine="1417"/>
      </w:pPr>
      <w:r>
        <w:rPr>
          <w:rFonts w:hint="eastAsia" w:hAnsi="宋体"/>
          <w:b/>
          <w:sz w:val="24"/>
        </w:rPr>
        <w:t xml:space="preserve">投标货物数量、品牌规格、材质、性能、交货期说明表</w:t>
      </w:r>
      <w:r/>
    </w:p>
    <w:tbl>
      <w:tblPr>
        <w:tblStyle w:val="800"/>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998"/>
              <w:jc w:val="center"/>
              <w:spacing w:line="360" w:lineRule="auto"/>
              <w:rPr>
                <w:rFonts w:hAnsi="宋体" w:eastAsia="宋体"/>
                <w:sz w:val="24"/>
                <w:szCs w:val="24"/>
              </w:rPr>
            </w:pPr>
            <w:r>
              <w:rPr>
                <w:rFonts w:hint="eastAsia" w:hAnsi="宋体" w:eastAsia="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998"/>
              <w:jc w:val="center"/>
              <w:spacing w:line="360" w:lineRule="auto"/>
              <w:rPr>
                <w:rFonts w:hAnsi="宋体" w:eastAsia="宋体"/>
                <w:sz w:val="24"/>
                <w:szCs w:val="24"/>
              </w:rPr>
            </w:pPr>
            <w:r>
              <w:rPr>
                <w:rFonts w:hint="eastAsia" w:hAnsi="宋体" w:eastAsia="宋体"/>
                <w:sz w:val="24"/>
                <w:szCs w:val="24"/>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pStyle w:val="998"/>
              <w:jc w:val="center"/>
              <w:spacing w:line="360" w:lineRule="auto"/>
              <w:rPr>
                <w:rFonts w:hAnsi="宋体" w:eastAsia="宋体"/>
                <w:sz w:val="24"/>
                <w:szCs w:val="24"/>
              </w:rPr>
            </w:pPr>
            <w:r>
              <w:rPr>
                <w:rFonts w:hint="eastAsia" w:hAnsi="宋体" w:eastAsia="宋体"/>
                <w:sz w:val="24"/>
                <w:szCs w:val="24"/>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pStyle w:val="998"/>
              <w:jc w:val="center"/>
              <w:spacing w:line="360" w:lineRule="auto"/>
              <w:rPr>
                <w:rFonts w:hAnsi="宋体" w:eastAsia="宋体"/>
                <w:sz w:val="24"/>
                <w:szCs w:val="24"/>
              </w:rPr>
            </w:pPr>
            <w:r>
              <w:rPr>
                <w:rFonts w:hint="eastAsia" w:hAnsi="宋体" w:eastAsia="宋体"/>
                <w:sz w:val="24"/>
                <w:szCs w:val="24"/>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pStyle w:val="998"/>
              <w:jc w:val="center"/>
              <w:spacing w:line="360" w:lineRule="auto"/>
              <w:rPr>
                <w:rFonts w:hAnsi="宋体" w:eastAsia="宋体"/>
                <w:sz w:val="24"/>
                <w:szCs w:val="24"/>
              </w:rPr>
            </w:pPr>
            <w:r>
              <w:rPr>
                <w:rFonts w:hint="eastAsia" w:hAnsi="宋体" w:eastAsia="宋体"/>
                <w:sz w:val="24"/>
                <w:szCs w:val="24"/>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pStyle w:val="998"/>
              <w:jc w:val="center"/>
              <w:spacing w:line="360" w:lineRule="auto"/>
              <w:rPr>
                <w:rFonts w:hAnsi="宋体" w:eastAsia="宋体"/>
                <w:sz w:val="24"/>
                <w:szCs w:val="24"/>
              </w:rPr>
            </w:pPr>
            <w:r>
              <w:rPr>
                <w:rFonts w:hint="eastAsia" w:hAnsi="宋体" w:eastAsia="宋体"/>
                <w:sz w:val="24"/>
                <w:szCs w:val="24"/>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98"/>
              <w:jc w:val="center"/>
              <w:spacing w:line="360" w:lineRule="auto"/>
              <w:rPr>
                <w:rFonts w:hAnsi="宋体" w:eastAsia="宋体"/>
                <w:sz w:val="24"/>
                <w:szCs w:val="24"/>
              </w:rPr>
            </w:pPr>
            <w:r>
              <w:rPr>
                <w:rFonts w:hAnsi="宋体" w:eastAsia="宋体"/>
                <w:sz w:val="24"/>
                <w:szCs w:val="24"/>
              </w:rPr>
            </w:r>
            <w:r/>
          </w:p>
        </w:tc>
      </w:tr>
    </w:tbl>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w:t>
      </w:r>
      <w:r>
        <w:rPr>
          <w:rFonts w:hint="eastAsia" w:ascii="宋体" w:hAnsi="宋体" w:cs="宋体"/>
          <w:sz w:val="24"/>
        </w:rPr>
        <w:t xml:space="preserve"> </w:t>
      </w:r>
      <w:r>
        <w:rPr>
          <w:rFonts w:ascii="宋体" w:hAnsi="宋体" w:cs="宋体"/>
          <w:sz w:val="24"/>
        </w:rPr>
        <w:t xml:space="preserve">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r>
      <w:r/>
    </w:p>
    <w:p>
      <w:pPr>
        <w:rPr>
          <w:rFonts w:ascii="宋体" w:hAnsi="宋体" w:cs="宋体"/>
          <w:b/>
          <w:bCs/>
          <w:sz w:val="32"/>
          <w:szCs w:val="32"/>
        </w:rPr>
      </w:pPr>
      <w:r>
        <w:rPr>
          <w:rFonts w:hint="eastAsia" w:ascii="宋体" w:hAnsi="宋体" w:cs="宋体"/>
          <w:b/>
          <w:bCs/>
          <w:sz w:val="32"/>
          <w:szCs w:val="32"/>
        </w:rPr>
        <w:t xml:space="preserve">9、技术（服务）要求偏离表</w:t>
      </w:r>
      <w:r/>
    </w:p>
    <w:p>
      <w:pPr>
        <w:jc w:val="center"/>
        <w:spacing w:line="360" w:lineRule="auto"/>
        <w:rPr>
          <w:rFonts w:ascii="宋体" w:hAnsi="宋体" w:cs="宋体"/>
          <w:b/>
          <w:sz w:val="30"/>
          <w:szCs w:val="30"/>
        </w:rPr>
      </w:pPr>
      <w:r>
        <w:rPr>
          <w:rFonts w:hint="eastAsia" w:ascii="宋体" w:hAnsi="宋体" w:cs="宋体"/>
          <w:b/>
          <w:sz w:val="30"/>
          <w:szCs w:val="30"/>
        </w:rPr>
        <w:t xml:space="preserve"> 技术（服务）要求偏离表</w:t>
      </w:r>
      <w:r/>
    </w:p>
    <w:tbl>
      <w:tblPr>
        <w:tblStyle w:val="800"/>
        <w:tblW w:w="0" w:type="auto"/>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1489"/>
        <w:gridCol w:w="2526"/>
        <w:gridCol w:w="1843"/>
        <w:gridCol w:w="2392"/>
      </w:tblGrid>
      <w:tr>
        <w:trPr>
          <w:trHeight w:val="992"/>
        </w:trPr>
        <w:tc>
          <w:tcPr>
            <w:tcW w:w="1075" w:type="dxa"/>
            <w:vAlign w:val="center"/>
            <w:textDirection w:val="lrTb"/>
            <w:noWrap w:val="false"/>
          </w:tcPr>
          <w:p>
            <w:pPr>
              <w:jc w:val="center"/>
              <w:spacing w:line="420" w:lineRule="atLeast"/>
              <w:rPr>
                <w:rFonts w:ascii="宋体" w:hAnsi="宋体" w:cs="宋体"/>
                <w:sz w:val="24"/>
              </w:rPr>
            </w:pPr>
            <w:r>
              <w:rPr>
                <w:rFonts w:hint="eastAsia" w:ascii="宋体" w:hAnsi="宋体" w:cs="宋体"/>
                <w:sz w:val="24"/>
              </w:rPr>
              <w:t xml:space="preserve">序号</w:t>
            </w:r>
            <w:r/>
          </w:p>
        </w:tc>
        <w:tc>
          <w:tcPr>
            <w:tcW w:w="1489" w:type="dxa"/>
            <w:vAlign w:val="center"/>
            <w:textDirection w:val="lrTb"/>
            <w:noWrap w:val="false"/>
          </w:tcPr>
          <w:p>
            <w:pPr>
              <w:jc w:val="center"/>
              <w:spacing w:line="420" w:lineRule="atLeast"/>
              <w:rPr>
                <w:rFonts w:ascii="宋体" w:hAnsi="宋体" w:cs="宋体"/>
                <w:sz w:val="24"/>
              </w:rPr>
            </w:pPr>
            <w:r>
              <w:rPr>
                <w:rFonts w:hint="eastAsia" w:ascii="宋体" w:hAnsi="宋体" w:cs="宋体"/>
                <w:sz w:val="24"/>
              </w:rPr>
              <w:t xml:space="preserve">内容</w:t>
            </w:r>
            <w:r/>
          </w:p>
        </w:tc>
        <w:tc>
          <w:tcPr>
            <w:tcW w:w="2526" w:type="dxa"/>
            <w:vAlign w:val="center"/>
            <w:textDirection w:val="lrTb"/>
            <w:noWrap w:val="false"/>
          </w:tcPr>
          <w:p>
            <w:pPr>
              <w:jc w:val="center"/>
              <w:spacing w:line="420" w:lineRule="atLeast"/>
              <w:rPr>
                <w:rFonts w:ascii="宋体" w:hAnsi="宋体" w:cs="宋体"/>
                <w:sz w:val="24"/>
              </w:rPr>
            </w:pPr>
            <w:r>
              <w:rPr>
                <w:rFonts w:hint="eastAsia" w:ascii="宋体" w:hAnsi="宋体" w:cs="宋体"/>
                <w:sz w:val="24"/>
              </w:rPr>
              <w:t xml:space="preserve">招标文件</w:t>
            </w:r>
            <w:r/>
          </w:p>
          <w:p>
            <w:pPr>
              <w:jc w:val="center"/>
              <w:spacing w:line="420" w:lineRule="atLeast"/>
              <w:rPr>
                <w:rFonts w:ascii="宋体" w:hAnsi="宋体" w:cs="宋体"/>
                <w:sz w:val="24"/>
              </w:rPr>
            </w:pPr>
            <w:r>
              <w:rPr>
                <w:rFonts w:hint="eastAsia" w:ascii="宋体" w:hAnsi="宋体" w:cs="宋体"/>
                <w:sz w:val="24"/>
              </w:rPr>
              <w:t xml:space="preserve">技术要求</w:t>
            </w:r>
            <w:r/>
          </w:p>
        </w:tc>
        <w:tc>
          <w:tcPr>
            <w:tcW w:w="1843" w:type="dxa"/>
            <w:vAlign w:val="center"/>
            <w:textDirection w:val="lrTb"/>
            <w:noWrap w:val="false"/>
          </w:tcPr>
          <w:p>
            <w:pPr>
              <w:jc w:val="center"/>
              <w:spacing w:line="420" w:lineRule="atLeast"/>
              <w:rPr>
                <w:rFonts w:ascii="宋体" w:hAnsi="宋体" w:cs="宋体"/>
                <w:sz w:val="24"/>
              </w:rPr>
            </w:pPr>
            <w:r>
              <w:rPr>
                <w:rFonts w:hint="eastAsia" w:ascii="宋体" w:hAnsi="宋体" w:cs="宋体"/>
                <w:sz w:val="24"/>
              </w:rPr>
              <w:t xml:space="preserve">投标文件</w:t>
            </w:r>
            <w:r/>
          </w:p>
          <w:p>
            <w:pPr>
              <w:jc w:val="center"/>
              <w:spacing w:line="420" w:lineRule="atLeast"/>
              <w:rPr>
                <w:rFonts w:ascii="宋体" w:hAnsi="宋体" w:cs="宋体"/>
                <w:sz w:val="24"/>
              </w:rPr>
            </w:pPr>
            <w:r>
              <w:rPr>
                <w:rFonts w:hint="eastAsia" w:ascii="宋体" w:hAnsi="宋体" w:cs="宋体"/>
                <w:sz w:val="24"/>
              </w:rPr>
              <w:t xml:space="preserve">响应要求</w:t>
            </w:r>
            <w:r/>
          </w:p>
        </w:tc>
        <w:tc>
          <w:tcPr>
            <w:tcW w:w="2392" w:type="dxa"/>
            <w:vAlign w:val="center"/>
            <w:textDirection w:val="lrTb"/>
            <w:noWrap w:val="false"/>
          </w:tcPr>
          <w:p>
            <w:pPr>
              <w:jc w:val="center"/>
              <w:spacing w:line="420" w:lineRule="atLeast"/>
              <w:rPr>
                <w:rFonts w:ascii="宋体" w:hAnsi="宋体" w:cs="宋体"/>
                <w:sz w:val="24"/>
              </w:rPr>
            </w:pPr>
            <w:r>
              <w:rPr>
                <w:rFonts w:hint="eastAsia" w:ascii="宋体" w:hAnsi="宋体" w:cs="宋体"/>
                <w:sz w:val="24"/>
              </w:rPr>
              <w:t xml:space="preserve"> 偏离情况</w:t>
            </w:r>
            <w:r/>
          </w:p>
        </w:tc>
      </w:tr>
      <w:tr>
        <w:trPr>
          <w:trHeight w:val="150"/>
        </w:trPr>
        <w:tc>
          <w:tcPr>
            <w:tcW w:w="1075" w:type="dxa"/>
            <w:textDirection w:val="lrTb"/>
            <w:noWrap w:val="false"/>
          </w:tcPr>
          <w:p>
            <w:pPr>
              <w:jc w:val="center"/>
              <w:spacing w:line="400" w:lineRule="atLeast"/>
              <w:rPr>
                <w:rFonts w:ascii="宋体" w:hAnsi="宋体" w:cs="宋体"/>
                <w:sz w:val="24"/>
              </w:rPr>
            </w:pPr>
            <w:r>
              <w:rPr>
                <w:rFonts w:hint="eastAsia" w:ascii="宋体" w:hAnsi="宋体" w:cs="宋体"/>
                <w:sz w:val="24"/>
              </w:rPr>
              <w:t xml:space="preserve">1</w:t>
            </w:r>
            <w:r/>
          </w:p>
        </w:tc>
        <w:tc>
          <w:tcPr>
            <w:tcW w:w="1489"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526"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1843"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392"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r>
      <w:tr>
        <w:trPr>
          <w:trHeight w:val="150"/>
        </w:trPr>
        <w:tc>
          <w:tcPr>
            <w:tcW w:w="1075" w:type="dxa"/>
            <w:textDirection w:val="lrTb"/>
            <w:noWrap w:val="false"/>
          </w:tcPr>
          <w:p>
            <w:pPr>
              <w:jc w:val="center"/>
              <w:spacing w:line="400" w:lineRule="atLeast"/>
              <w:rPr>
                <w:rFonts w:ascii="宋体" w:hAnsi="宋体" w:cs="宋体"/>
                <w:sz w:val="24"/>
              </w:rPr>
            </w:pPr>
            <w:r>
              <w:rPr>
                <w:rFonts w:hint="eastAsia" w:ascii="宋体" w:hAnsi="宋体" w:cs="宋体"/>
                <w:sz w:val="24"/>
              </w:rPr>
              <w:t xml:space="preserve">2</w:t>
            </w:r>
            <w:r/>
          </w:p>
        </w:tc>
        <w:tc>
          <w:tcPr>
            <w:tcW w:w="1489"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526"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1843"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392"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r>
      <w:tr>
        <w:trPr>
          <w:trHeight w:val="150"/>
        </w:trPr>
        <w:tc>
          <w:tcPr>
            <w:tcW w:w="1075" w:type="dxa"/>
            <w:textDirection w:val="lrTb"/>
            <w:noWrap w:val="false"/>
          </w:tcPr>
          <w:p>
            <w:pPr>
              <w:jc w:val="center"/>
              <w:spacing w:line="400" w:lineRule="atLeast"/>
              <w:rPr>
                <w:rFonts w:ascii="宋体" w:hAnsi="宋体" w:cs="宋体"/>
                <w:sz w:val="24"/>
              </w:rPr>
            </w:pPr>
            <w:r>
              <w:rPr>
                <w:rFonts w:hint="eastAsia" w:ascii="宋体" w:hAnsi="宋体" w:cs="宋体"/>
                <w:sz w:val="24"/>
              </w:rPr>
              <w:t xml:space="preserve">3</w:t>
            </w:r>
            <w:r/>
          </w:p>
        </w:tc>
        <w:tc>
          <w:tcPr>
            <w:tcW w:w="1489"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526"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1843"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392"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r>
      <w:tr>
        <w:trPr>
          <w:trHeight w:val="150"/>
        </w:trPr>
        <w:tc>
          <w:tcPr>
            <w:tcW w:w="1075" w:type="dxa"/>
            <w:textDirection w:val="lrTb"/>
            <w:noWrap w:val="false"/>
          </w:tcPr>
          <w:p>
            <w:pPr>
              <w:jc w:val="center"/>
              <w:spacing w:line="400" w:lineRule="atLeast"/>
              <w:rPr>
                <w:rFonts w:ascii="宋体" w:hAnsi="宋体" w:cs="宋体"/>
                <w:sz w:val="24"/>
              </w:rPr>
            </w:pPr>
            <w:r>
              <w:rPr>
                <w:rFonts w:hint="eastAsia" w:ascii="宋体" w:hAnsi="宋体" w:cs="宋体"/>
                <w:sz w:val="24"/>
              </w:rPr>
              <w:t xml:space="preserve">4</w:t>
            </w:r>
            <w:r/>
          </w:p>
        </w:tc>
        <w:tc>
          <w:tcPr>
            <w:tcW w:w="1489"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526"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1843"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392"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r>
      <w:tr>
        <w:trPr>
          <w:trHeight w:val="150"/>
        </w:trPr>
        <w:tc>
          <w:tcPr>
            <w:tcW w:w="1075" w:type="dxa"/>
            <w:textDirection w:val="lrTb"/>
            <w:noWrap w:val="false"/>
          </w:tcPr>
          <w:p>
            <w:pPr>
              <w:jc w:val="center"/>
              <w:spacing w:line="400" w:lineRule="atLeast"/>
              <w:rPr>
                <w:rFonts w:ascii="宋体" w:hAnsi="宋体" w:cs="宋体"/>
                <w:sz w:val="24"/>
              </w:rPr>
            </w:pPr>
            <w:r>
              <w:rPr>
                <w:rFonts w:hint="eastAsia" w:ascii="宋体" w:hAnsi="宋体" w:cs="宋体"/>
                <w:sz w:val="24"/>
              </w:rPr>
              <w:t xml:space="preserve">5</w:t>
            </w:r>
            <w:r/>
          </w:p>
        </w:tc>
        <w:tc>
          <w:tcPr>
            <w:tcW w:w="1489"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526"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1843"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392"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r>
      <w:tr>
        <w:trPr>
          <w:trHeight w:val="150"/>
        </w:trPr>
        <w:tc>
          <w:tcPr>
            <w:tcW w:w="1075" w:type="dxa"/>
            <w:textDirection w:val="lrTb"/>
            <w:noWrap w:val="false"/>
          </w:tcPr>
          <w:p>
            <w:pPr>
              <w:jc w:val="center"/>
              <w:spacing w:line="400" w:lineRule="atLeast"/>
              <w:rPr>
                <w:rFonts w:ascii="宋体" w:hAnsi="宋体" w:cs="宋体"/>
                <w:sz w:val="24"/>
              </w:rPr>
            </w:pPr>
            <w:r>
              <w:rPr>
                <w:rFonts w:hint="eastAsia" w:ascii="宋体" w:hAnsi="宋体" w:cs="宋体"/>
                <w:sz w:val="24"/>
              </w:rPr>
              <w:t xml:space="preserve">6</w:t>
            </w:r>
            <w:r/>
          </w:p>
        </w:tc>
        <w:tc>
          <w:tcPr>
            <w:tcW w:w="1489"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526"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1843"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392"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r>
      <w:tr>
        <w:trPr>
          <w:trHeight w:val="150"/>
        </w:trPr>
        <w:tc>
          <w:tcPr>
            <w:tcW w:w="1075" w:type="dxa"/>
            <w:textDirection w:val="lrTb"/>
            <w:noWrap w:val="false"/>
          </w:tcPr>
          <w:p>
            <w:pPr>
              <w:jc w:val="center"/>
              <w:spacing w:line="400" w:lineRule="atLeast"/>
              <w:rPr>
                <w:rFonts w:ascii="宋体" w:hAnsi="宋体" w:cs="宋体"/>
                <w:sz w:val="24"/>
              </w:rPr>
            </w:pPr>
            <w:r>
              <w:rPr>
                <w:rFonts w:hint="eastAsia" w:ascii="宋体" w:hAnsi="宋体" w:cs="宋体"/>
                <w:sz w:val="24"/>
              </w:rPr>
              <w:t xml:space="preserve">7</w:t>
            </w:r>
            <w:r/>
          </w:p>
        </w:tc>
        <w:tc>
          <w:tcPr>
            <w:tcW w:w="1489"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526"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1843"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392"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r>
      <w:tr>
        <w:trPr>
          <w:trHeight w:val="150"/>
        </w:trPr>
        <w:tc>
          <w:tcPr>
            <w:tcW w:w="1075" w:type="dxa"/>
            <w:textDirection w:val="lrTb"/>
            <w:noWrap w:val="false"/>
          </w:tcPr>
          <w:p>
            <w:pPr>
              <w:jc w:val="center"/>
              <w:spacing w:line="400" w:lineRule="atLeast"/>
              <w:rPr>
                <w:rFonts w:ascii="宋体" w:hAnsi="宋体" w:cs="宋体"/>
                <w:sz w:val="24"/>
              </w:rPr>
            </w:pPr>
            <w:r>
              <w:rPr>
                <w:rFonts w:hint="eastAsia" w:ascii="宋体" w:hAnsi="宋体" w:cs="宋体"/>
                <w:sz w:val="24"/>
              </w:rPr>
              <w:t xml:space="preserve">8</w:t>
            </w:r>
            <w:r/>
          </w:p>
        </w:tc>
        <w:tc>
          <w:tcPr>
            <w:tcW w:w="1489"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526"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1843"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392"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r>
      <w:tr>
        <w:trPr>
          <w:trHeight w:val="150"/>
        </w:trPr>
        <w:tc>
          <w:tcPr>
            <w:tcW w:w="1075" w:type="dxa"/>
            <w:textDirection w:val="lrTb"/>
            <w:noWrap w:val="false"/>
          </w:tcPr>
          <w:p>
            <w:pPr>
              <w:jc w:val="center"/>
              <w:spacing w:line="400" w:lineRule="atLeast"/>
              <w:rPr>
                <w:rFonts w:ascii="宋体" w:hAnsi="宋体" w:cs="宋体"/>
                <w:sz w:val="24"/>
              </w:rPr>
            </w:pPr>
            <w:r>
              <w:rPr>
                <w:rFonts w:hint="eastAsia" w:ascii="宋体" w:hAnsi="宋体" w:cs="宋体"/>
                <w:sz w:val="24"/>
              </w:rPr>
              <w:t xml:space="preserve">...</w:t>
            </w:r>
            <w:r/>
          </w:p>
        </w:tc>
        <w:tc>
          <w:tcPr>
            <w:tcW w:w="1489"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526"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1843"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392"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r>
      <w:tr>
        <w:trPr>
          <w:trHeight w:val="150"/>
        </w:trPr>
        <w:tc>
          <w:tcPr>
            <w:tcW w:w="1075" w:type="dxa"/>
            <w:textDirection w:val="lrTb"/>
            <w:noWrap w:val="false"/>
          </w:tcPr>
          <w:p>
            <w:pPr>
              <w:jc w:val="center"/>
              <w:spacing w:line="400" w:lineRule="atLeast"/>
              <w:rPr>
                <w:rFonts w:ascii="宋体" w:hAnsi="宋体" w:cs="宋体"/>
                <w:sz w:val="24"/>
              </w:rPr>
            </w:pPr>
            <w:r>
              <w:rPr>
                <w:rFonts w:ascii="宋体" w:hAnsi="宋体" w:cs="宋体"/>
                <w:sz w:val="24"/>
              </w:rPr>
            </w:r>
            <w:r/>
          </w:p>
        </w:tc>
        <w:tc>
          <w:tcPr>
            <w:tcW w:w="1489"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526"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1843"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392"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r>
      <w:tr>
        <w:trPr>
          <w:trHeight w:val="150"/>
        </w:trPr>
        <w:tc>
          <w:tcPr>
            <w:tcW w:w="1075" w:type="dxa"/>
            <w:textDirection w:val="lrTb"/>
            <w:noWrap w:val="false"/>
          </w:tcPr>
          <w:p>
            <w:pPr>
              <w:jc w:val="center"/>
              <w:spacing w:line="400" w:lineRule="atLeast"/>
              <w:rPr>
                <w:rFonts w:ascii="宋体" w:hAnsi="宋体" w:cs="宋体"/>
                <w:sz w:val="24"/>
              </w:rPr>
            </w:pPr>
            <w:r>
              <w:rPr>
                <w:rFonts w:ascii="宋体" w:hAnsi="宋体" w:cs="宋体"/>
                <w:sz w:val="24"/>
              </w:rPr>
            </w:r>
            <w:r/>
          </w:p>
        </w:tc>
        <w:tc>
          <w:tcPr>
            <w:tcW w:w="1489"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526"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1843"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c>
          <w:tcPr>
            <w:tcW w:w="2392" w:type="dxa"/>
            <w:vAlign w:val="center"/>
            <w:textDirection w:val="lrTb"/>
            <w:noWrap w:val="false"/>
          </w:tcPr>
          <w:p>
            <w:pPr>
              <w:jc w:val="center"/>
              <w:spacing w:line="400" w:lineRule="atLeast"/>
              <w:rPr>
                <w:rFonts w:ascii="宋体" w:hAnsi="宋体" w:cs="宋体"/>
                <w:sz w:val="24"/>
              </w:rPr>
            </w:pPr>
            <w:r>
              <w:rPr>
                <w:rFonts w:ascii="宋体" w:hAnsi="宋体" w:cs="宋体"/>
                <w:sz w:val="24"/>
              </w:rPr>
            </w:r>
            <w:r/>
          </w:p>
        </w:tc>
      </w:tr>
    </w:tbl>
    <w:p>
      <w:pPr>
        <w:spacing w:line="420" w:lineRule="exact"/>
        <w:rPr>
          <w:rFonts w:ascii="宋体" w:hAnsi="宋体" w:cs="宋体"/>
          <w:sz w:val="24"/>
          <w:lang w:val="zh-CN"/>
        </w:rPr>
      </w:pPr>
      <w:r>
        <w:rPr>
          <w:rFonts w:hint="eastAsia" w:ascii="宋体" w:hAnsi="宋体" w:cs="宋体"/>
          <w:sz w:val="24"/>
          <w:lang w:val="zh-CN"/>
        </w:rPr>
        <w:t xml:space="preserve">注：</w:t>
      </w:r>
      <w:r/>
    </w:p>
    <w:p>
      <w:pPr>
        <w:ind w:firstLine="480"/>
        <w:spacing w:line="420" w:lineRule="exact"/>
        <w:rPr>
          <w:rFonts w:ascii="宋体" w:hAnsi="宋体" w:cs="宋体"/>
          <w:sz w:val="24"/>
        </w:rPr>
      </w:pPr>
      <w:r>
        <w:rPr>
          <w:rFonts w:hint="eastAsia" w:ascii="宋体" w:hAnsi="宋体" w:cs="宋体"/>
          <w:sz w:val="24"/>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ascii="宋体" w:hAnsi="宋体" w:cs="宋体"/>
          <w:sz w:val="24"/>
        </w:rPr>
      </w:pPr>
      <w:r>
        <w:rPr>
          <w:rFonts w:hint="eastAsia" w:ascii="宋体" w:hAnsi="宋体" w:cs="宋体"/>
          <w:sz w:val="24"/>
        </w:rPr>
        <w:t xml:space="preserve">2、若事项较多，投标人可根据响应内容的实际情况另纸说明。</w:t>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ascii="宋体" w:hAnsi="宋体" w:cs="宋体"/>
          <w:sz w:val="24"/>
        </w:rPr>
      </w:r>
      <w:r/>
    </w:p>
    <w:p>
      <w:pPr>
        <w:spacing w:line="420" w:lineRule="exact"/>
        <w:rPr>
          <w:rFonts w:ascii="宋体" w:hAnsi="宋体" w:cs="宋体"/>
          <w:sz w:val="24"/>
        </w:rPr>
      </w:pPr>
      <w:r>
        <w:rPr>
          <w:rFonts w:hint="eastAsia" w:ascii="宋体" w:hAnsi="宋体" w:cs="宋体"/>
          <w:sz w:val="24"/>
        </w:rPr>
        <w:t xml:space="preserve">投标单位：（单位盖章）</w:t>
      </w:r>
      <w:r/>
    </w:p>
    <w:p>
      <w:pPr>
        <w:spacing w:line="420" w:lineRule="exact"/>
        <w:rPr>
          <w:rFonts w:ascii="宋体" w:hAnsi="宋体" w:cs="宋体"/>
          <w:bCs/>
          <w:sz w:val="24"/>
        </w:rPr>
      </w:pPr>
      <w:r>
        <w:rPr>
          <w:rFonts w:hint="eastAsia" w:ascii="宋体" w:hAnsi="宋体" w:cs="宋体"/>
          <w:sz w:val="24"/>
        </w:rPr>
        <w:t xml:space="preserve">法定代表人或代理人（签字或盖章）</w:t>
      </w:r>
      <w:r>
        <w:rPr>
          <w:rFonts w:hint="eastAsia" w:ascii="宋体" w:hAnsi="宋体" w:cs="宋体"/>
          <w:bCs/>
          <w:sz w:val="24"/>
        </w:rPr>
        <w:t xml:space="preserve">：</w:t>
      </w:r>
      <w:r/>
    </w:p>
    <w:p>
      <w:pPr>
        <w:spacing w:line="4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投标日期：   年   月   日</w:t>
      </w:r>
      <w:r/>
    </w:p>
    <w:p>
      <w:pPr>
        <w:pStyle w:val="984"/>
        <w:rPr>
          <w:rFonts w:ascii="宋体" w:hAnsi="宋体" w:eastAsia="宋体" w:cs="宋体"/>
          <w:sz w:val="24"/>
        </w:rPr>
      </w:pPr>
      <w:r>
        <w:rPr>
          <w:rFonts w:ascii="宋体" w:hAnsi="宋体" w:eastAsia="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spacing w:line="85"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spacing w:line="85" w:lineRule="atLeast"/>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10、商务偏离表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pacing w:val="20"/>
          <w:sz w:val="32"/>
        </w:rPr>
        <w:t xml:space="preserve">商务条款偏离表</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482"/>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spacing w:line="44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注：</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2、若事项较多，投标人可根据响应内容的实际情况另纸说明。</w:t>
      </w:r>
      <w:r/>
    </w:p>
    <w:p>
      <w:pPr>
        <w:ind w:firstLine="480"/>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spacing w:line="44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44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44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44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44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44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w:t>
      </w:r>
      <w:r/>
    </w:p>
    <w:p>
      <w:pPr>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40"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 月 日</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eastAsia="Times New Roman"/>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Times New Roman" w:hAnsi="Times New Roman"/>
          <w:szCs w:val="21"/>
        </w:rPr>
        <w:pBdr>
          <w:top w:val="none" w:color="000000" w:sz="0" w:space="0"/>
          <w:left w:val="none" w:color="000000" w:sz="0" w:space="0"/>
          <w:bottom w:val="none" w:color="000000" w:sz="0" w:space="0"/>
          <w:right w:val="none" w:color="000000" w:sz="0" w:space="0"/>
        </w:pBdr>
      </w:pPr>
      <w:r>
        <w:rPr>
          <w:rFonts w:ascii="Times New Roman" w:hAnsi="Times New Roman"/>
          <w:szCs w:val="21"/>
        </w:rPr>
      </w:r>
      <w:r/>
    </w:p>
    <w:p>
      <w:pPr>
        <w:rPr>
          <w:rFonts w:ascii="宋体" w:hAnsi="宋体"/>
          <w:b/>
          <w:bCs/>
          <w:sz w:val="32"/>
          <w:szCs w:val="32"/>
        </w:rPr>
      </w:pPr>
      <w:r>
        <w:rPr>
          <w:rFonts w:ascii="宋体" w:hAnsi="宋体" w:cs="宋体"/>
          <w:b/>
          <w:sz w:val="32"/>
        </w:rPr>
        <w:t xml:space="preserve">11、</w:t>
      </w:r>
      <w:r>
        <w:rPr>
          <w:rFonts w:hint="eastAsia" w:ascii="宋体" w:hAnsi="宋体"/>
          <w:b/>
          <w:bCs/>
          <w:sz w:val="32"/>
          <w:szCs w:val="32"/>
        </w:rPr>
        <w:t xml:space="preserve">项目技术方案及服务方案</w:t>
      </w:r>
      <w:r/>
    </w:p>
    <w:p>
      <w:pPr>
        <w:rPr>
          <w:rFonts w:ascii="宋体" w:hAnsi="宋体" w:cs="Arial"/>
          <w:sz w:val="24"/>
          <w:szCs w:val="21"/>
        </w:rPr>
      </w:pPr>
      <w:r>
        <w:rPr>
          <w:rFonts w:ascii="宋体" w:hAnsi="宋体" w:cs="Arial"/>
          <w:sz w:val="24"/>
          <w:szCs w:val="21"/>
        </w:rPr>
      </w:r>
      <w:r/>
    </w:p>
    <w:p>
      <w:pPr>
        <w:ind w:firstLine="480"/>
        <w:rPr>
          <w:rFonts w:ascii="宋体" w:hAnsi="宋体"/>
          <w:b/>
          <w:bCs/>
          <w:sz w:val="32"/>
          <w:szCs w:val="32"/>
        </w:rPr>
      </w:pPr>
      <w:r>
        <w:rPr>
          <w:rFonts w:hint="eastAsia" w:ascii="宋体" w:hAnsi="宋体" w:cs="Arial"/>
          <w:sz w:val="24"/>
          <w:szCs w:val="21"/>
        </w:rPr>
        <w:t xml:space="preserve">投标人根据项目需求编写针对本项目的技术方案及服务方案</w:t>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rPr>
          <w:rFonts w:ascii="宋体" w:hAnsi="宋体"/>
          <w:b/>
          <w:bCs/>
          <w:sz w:val="32"/>
          <w:szCs w:val="32"/>
        </w:rPr>
      </w:pPr>
      <w:r>
        <w:rPr>
          <w:rFonts w:hint="eastAsia" w:ascii="宋体" w:hAnsi="宋体"/>
          <w:b/>
          <w:bCs/>
          <w:sz w:val="32"/>
          <w:szCs w:val="32"/>
        </w:rPr>
        <w:t xml:space="preserve">12、项目实施方案及进度方案</w:t>
      </w:r>
      <w:r/>
    </w:p>
    <w:p>
      <w:pPr>
        <w:rPr>
          <w:rFonts w:ascii="宋体" w:hAnsi="宋体"/>
          <w:sz w:val="24"/>
        </w:rPr>
      </w:pPr>
      <w:r>
        <w:rPr>
          <w:rFonts w:ascii="宋体" w:hAnsi="宋体"/>
          <w:sz w:val="24"/>
        </w:rPr>
      </w:r>
      <w:r/>
    </w:p>
    <w:p>
      <w:pPr>
        <w:ind w:firstLine="480"/>
        <w:spacing w:line="360" w:lineRule="auto"/>
        <w:rPr>
          <w:rFonts w:ascii="宋体" w:hAnsi="宋体" w:cs="Arial"/>
          <w:sz w:val="24"/>
          <w:szCs w:val="21"/>
        </w:rPr>
      </w:pPr>
      <w:r>
        <w:rPr>
          <w:rFonts w:hint="eastAsia" w:ascii="宋体" w:hAnsi="宋体" w:cs="Arial"/>
          <w:sz w:val="24"/>
          <w:szCs w:val="21"/>
        </w:rPr>
        <w:t xml:space="preserve">投标人根据项目需求编写针对本项目的实施方案及进度方案</w:t>
      </w:r>
      <w:r/>
    </w:p>
    <w:p>
      <w:pPr>
        <w:rPr>
          <w:rFonts w:ascii="宋体" w:hAnsi="宋体" w:cs="Arial"/>
          <w:sz w:val="24"/>
          <w:szCs w:val="21"/>
        </w:rPr>
      </w:pPr>
      <w:r>
        <w:rPr>
          <w:rFonts w:ascii="宋体" w:hAnsi="宋体" w:cs="Arial"/>
          <w:sz w:val="24"/>
          <w:szCs w:val="21"/>
        </w:rPr>
      </w:r>
      <w:r/>
    </w:p>
    <w:p>
      <w:pPr>
        <w:rPr>
          <w:rFonts w:ascii="宋体" w:hAnsi="宋体" w:cs="Arial"/>
          <w:sz w:val="24"/>
          <w:szCs w:val="21"/>
        </w:rPr>
      </w:pPr>
      <w:r>
        <w:rPr>
          <w:rFonts w:ascii="宋体" w:hAnsi="宋体" w:cs="Arial"/>
          <w:sz w:val="24"/>
          <w:szCs w:val="21"/>
        </w:rPr>
      </w:r>
      <w:r/>
    </w:p>
    <w:p>
      <w:pPr>
        <w:rPr>
          <w:rFonts w:ascii="宋体" w:hAnsi="宋体" w:cs="Arial"/>
          <w:sz w:val="24"/>
          <w:szCs w:val="21"/>
        </w:rPr>
      </w:pPr>
      <w:r>
        <w:rPr>
          <w:rFonts w:ascii="宋体" w:hAnsi="宋体" w:cs="Arial"/>
          <w:sz w:val="24"/>
          <w:szCs w:val="21"/>
        </w:rPr>
      </w:r>
      <w:r/>
    </w:p>
    <w:p>
      <w:pPr>
        <w:rPr>
          <w:rFonts w:ascii="宋体" w:hAnsi="宋体" w:cs="Arial"/>
          <w:sz w:val="24"/>
          <w:szCs w:val="21"/>
        </w:rPr>
      </w:pPr>
      <w:r>
        <w:rPr>
          <w:rFonts w:ascii="宋体" w:hAnsi="宋体" w:cs="Arial"/>
          <w:sz w:val="24"/>
          <w:szCs w:val="21"/>
        </w:rPr>
      </w:r>
      <w:r/>
    </w:p>
    <w:p>
      <w:pPr>
        <w:rPr>
          <w:rFonts w:ascii="宋体" w:hAnsi="宋体" w:cs="Arial"/>
          <w:sz w:val="24"/>
          <w:szCs w:val="21"/>
        </w:rPr>
      </w:pPr>
      <w:r>
        <w:rPr>
          <w:rFonts w:ascii="宋体" w:hAnsi="宋体" w:cs="Arial"/>
          <w:sz w:val="24"/>
          <w:szCs w:val="21"/>
        </w:rPr>
      </w:r>
      <w:r/>
    </w:p>
    <w:p>
      <w:pPr>
        <w:rPr>
          <w:rFonts w:ascii="宋体" w:hAnsi="宋体"/>
          <w:b/>
          <w:bCs/>
          <w:sz w:val="32"/>
          <w:szCs w:val="32"/>
        </w:rPr>
      </w:pPr>
      <w:r>
        <w:rPr>
          <w:rFonts w:ascii="宋体" w:hAnsi="宋体"/>
          <w:b/>
          <w:bCs/>
          <w:sz w:val="32"/>
          <w:szCs w:val="32"/>
        </w:rPr>
      </w:r>
      <w:r/>
    </w:p>
    <w:p>
      <w:pPr>
        <w:pBdr>
          <w:top w:val="none" w:color="000000" w:sz="0" w:space="0"/>
          <w:left w:val="none" w:color="000000" w:sz="0" w:space="0"/>
          <w:bottom w:val="none" w:color="000000" w:sz="0" w:space="0"/>
          <w:right w:val="none" w:color="000000" w:sz="0" w:space="0"/>
        </w:pBdr>
      </w:pPr>
      <w:r>
        <w:rPr>
          <w:rFonts w:hint="eastAsia" w:ascii="宋体" w:hAnsi="宋体"/>
          <w:b/>
          <w:bCs/>
          <w:sz w:val="32"/>
          <w:szCs w:val="32"/>
        </w:rPr>
        <w:t xml:space="preserve">13、项目质量保证措施及承诺</w:t>
      </w:r>
      <w:r/>
    </w:p>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投标人根据项目需求编写针对本项目的质量保证措施及承诺</w:t>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spacing w:before="240" w:after="240" w:line="85"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spacing w:before="240" w:after="240" w:line="85"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spacing w:before="240" w:after="240" w:line="85"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spacing w:before="240" w:after="240" w:line="85"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14、项目售后服务方案</w:t>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sz w:val="24"/>
        </w:rPr>
        <w:t xml:space="preserve">投标人根据项目需求编写针对本项目的售后服务方案</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Bdr>
          <w:top w:val="none" w:color="000000" w:sz="0" w:space="0"/>
          <w:left w:val="none" w:color="000000" w:sz="0" w:space="0"/>
          <w:bottom w:val="none" w:color="000000" w:sz="0" w:space="0"/>
          <w:right w:val="none" w:color="000000" w:sz="0" w:space="0"/>
        </w:pBdr>
      </w:pPr>
      <w:r/>
      <w:r/>
    </w:p>
    <w:p>
      <w:pPr>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bCs/>
          <w:sz w:val="32"/>
          <w:szCs w:val="32"/>
        </w:rPr>
      </w:r>
      <w:r/>
    </w:p>
    <w:p>
      <w:pPr>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bCs/>
          <w:sz w:val="32"/>
          <w:szCs w:val="32"/>
        </w:rPr>
      </w:r>
      <w:r/>
    </w:p>
    <w:p>
      <w:pPr>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bCs/>
          <w:sz w:val="32"/>
          <w:szCs w:val="32"/>
        </w:rPr>
      </w:r>
      <w:r/>
    </w:p>
    <w:p>
      <w:pPr>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bCs/>
          <w:sz w:val="32"/>
          <w:szCs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rPr>
        <w:t xml:space="preserve">15、企业类似业绩一览表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sz w:val="28"/>
        </w:rPr>
        <w:t xml:space="preserve">企业类似业绩一览表</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合同金额</w:t>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240"/>
        <w:spacing w:line="43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附：按照招标文件要求及评分标准提供相应证明材料</w:t>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w:t>
      </w:r>
      <w:r>
        <w:rPr>
          <w:rFonts w:hint="eastAsia" w:ascii="宋体" w:hAnsi="宋体" w:cs="宋体"/>
          <w:sz w:val="24"/>
        </w:rPr>
        <w:t xml:space="preserve"> </w:t>
      </w:r>
      <w:r>
        <w:rPr>
          <w:rFonts w:ascii="宋体" w:hAnsi="宋体" w:cs="宋体"/>
          <w:sz w:val="24"/>
        </w:rPr>
        <w:t xml:space="preserve"> 月</w:t>
      </w:r>
      <w:r>
        <w:rPr>
          <w:rFonts w:hint="eastAsia" w:ascii="宋体" w:hAnsi="宋体" w:cs="宋体"/>
          <w:sz w:val="24"/>
        </w:rPr>
        <w:t xml:space="preserve"> </w:t>
      </w:r>
      <w:r>
        <w:rPr>
          <w:rFonts w:ascii="宋体" w:hAnsi="宋体" w:cs="宋体"/>
          <w:sz w:val="24"/>
        </w:rPr>
        <w:t xml:space="preserve"> 日</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cs="宋体"/>
          <w:b/>
          <w:sz w:val="32"/>
        </w:rPr>
        <w:t xml:space="preserve">16、拟投入本项目的专业技术（服务）人员情况一览表</w:t>
      </w:r>
      <w:r/>
    </w:p>
    <w:p>
      <w:pPr>
        <w:ind w:firstLine="1043"/>
        <w:spacing w:before="240" w:after="240"/>
        <w:pBdr>
          <w:top w:val="none" w:color="000000" w:sz="0" w:space="0"/>
          <w:left w:val="none" w:color="000000" w:sz="0" w:space="0"/>
          <w:bottom w:val="none" w:color="000000" w:sz="0" w:space="0"/>
          <w:right w:val="none" w:color="000000" w:sz="0" w:space="0"/>
        </w:pBdr>
      </w:pPr>
      <w:r>
        <w:rPr>
          <w:rFonts w:ascii="宋体" w:hAnsi="宋体" w:cs="宋体"/>
          <w:b/>
          <w:sz w:val="28"/>
        </w:rPr>
        <w:t xml:space="preserve">拟投入本项目的专业技术（服务）人员情况一览表</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pBdr>
                <w:top w:val="none" w:color="000000" w:sz="0" w:space="0"/>
                <w:left w:val="none" w:color="000000" w:sz="0" w:space="0"/>
                <w:bottom w:val="none" w:color="000000" w:sz="0" w:space="0"/>
                <w:right w:val="none" w:color="000000" w:sz="0" w:space="0"/>
              </w:pBdr>
            </w:pPr>
            <w:r>
              <w:rPr>
                <w:rFonts w:ascii="宋体" w:hAnsi="宋体" w:cs="宋体"/>
                <w:b/>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bl>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附：1、按照招标文件要求提供相应资质证明材料。</w:t>
      </w:r>
      <w:r/>
    </w:p>
    <w:p>
      <w:pPr>
        <w:spacing w:line="4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574"/>
        <w:spacing w:line="312" w:lineRule="atLeas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574"/>
        <w:spacing w:line="312" w:lineRule="atLeas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574"/>
        <w:spacing w:line="312" w:lineRule="atLeast"/>
        <w:rPr>
          <w:rFonts w:ascii="宋体" w:hAnsi="宋体" w:cs="宋体"/>
          <w:sz w:val="28"/>
        </w:rPr>
        <w:pBdr>
          <w:top w:val="none" w:color="000000" w:sz="0" w:space="0"/>
          <w:left w:val="none" w:color="000000" w:sz="0" w:space="0"/>
          <w:bottom w:val="none" w:color="000000" w:sz="0" w:space="0"/>
          <w:right w:val="none" w:color="000000" w:sz="0" w:space="0"/>
        </w:pBdr>
      </w:pPr>
      <w:r>
        <w:rPr>
          <w:rFonts w:ascii="宋体" w:hAnsi="宋体" w:cs="宋体"/>
          <w:sz w:val="28"/>
        </w:rPr>
      </w:r>
      <w:r/>
    </w:p>
    <w:p>
      <w:pPr>
        <w:ind w:firstLine="574"/>
        <w:spacing w:line="312" w:lineRule="atLeast"/>
        <w:pBdr>
          <w:top w:val="none" w:color="000000" w:sz="0" w:space="0"/>
          <w:left w:val="none" w:color="000000" w:sz="0" w:space="0"/>
          <w:bottom w:val="none" w:color="000000" w:sz="0" w:space="0"/>
          <w:right w:val="none" w:color="000000" w:sz="0" w:space="0"/>
        </w:pBdr>
      </w:pPr>
      <w:r>
        <w:rPr>
          <w:rFonts w:ascii="宋体" w:hAnsi="宋体" w:cs="宋体"/>
          <w:sz w:val="28"/>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投标单位（单位盖章）：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法定代表人或代理人（签字或盖章）</w:t>
      </w:r>
      <w:r/>
    </w:p>
    <w:p>
      <w:pPr>
        <w:spacing w:line="49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投标日期： 年 月 日</w:t>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hint="eastAsia" w:asciiTheme="minorEastAsia" w:hAnsiTheme="minorEastAsia"/>
          <w:b/>
          <w:bCs/>
          <w:sz w:val="32"/>
          <w:szCs w:val="32"/>
          <w:highlight w:val="none"/>
        </w:rPr>
      </w:pPr>
      <w:r>
        <w:rPr>
          <w:rFonts w:hint="eastAsia" w:ascii="宋体" w:hAnsi="宋体" w:cs="宋体"/>
          <w:b/>
          <w:sz w:val="32"/>
          <w:szCs w:val="32"/>
        </w:rPr>
        <w:t xml:space="preserve">17、</w:t>
      </w:r>
      <w:r>
        <w:rPr>
          <w:rFonts w:hint="eastAsia" w:asciiTheme="minorEastAsia" w:hAnsiTheme="minorEastAsia"/>
          <w:b/>
          <w:sz w:val="32"/>
          <w:szCs w:val="32"/>
          <w:highlight w:val="none"/>
        </w:rPr>
        <w:t xml:space="preserve">中小企业声明函       </w:t>
      </w:r>
      <w:r/>
    </w:p>
    <w:p>
      <w:pPr>
        <w:ind w:firstLine="562"/>
        <w:jc w:val="center"/>
        <w:spacing w:line="420" w:lineRule="exact"/>
        <w:widowControl/>
        <w:rPr>
          <w:rFonts w:hint="eastAsia" w:asciiTheme="minorEastAsia" w:hAnsiTheme="minorEastAsia"/>
          <w:b/>
          <w:sz w:val="28"/>
          <w:szCs w:val="28"/>
          <w:highlight w:val="none"/>
        </w:rPr>
      </w:pPr>
      <w:r>
        <w:rPr>
          <w:rFonts w:asciiTheme="minorEastAsia" w:hAnsiTheme="minorEastAsia"/>
          <w:b/>
          <w:sz w:val="28"/>
          <w:szCs w:val="28"/>
          <w:highlight w:val="none"/>
        </w:rPr>
        <w:t xml:space="preserve">中小企业声明函（货物）</w:t>
      </w:r>
      <w:r/>
    </w:p>
    <w:p>
      <w:pPr>
        <w:ind w:firstLine="480"/>
        <w:spacing w:line="420" w:lineRule="exact"/>
        <w:widowControl/>
        <w:rPr>
          <w:rFonts w:ascii="Calibri" w:hAnsi="Calibri" w:cs="Calibri"/>
          <w:sz w:val="24"/>
          <w:szCs w:val="24"/>
          <w:highlight w:val="none"/>
        </w:rPr>
      </w:pPr>
      <w:r>
        <w:rPr>
          <w:rFonts w:ascii="Calibri" w:hAnsi="Calibri" w:cs="Calibri"/>
          <w:sz w:val="24"/>
          <w:szCs w:val="24"/>
          <w:highlight w:val="none"/>
        </w:rPr>
        <w:t xml:space="preserve">本公司郑重声明，根据《政府采购促进中小企业发展管理办法》（财库</w:t>
      </w:r>
      <w:r>
        <w:rPr>
          <w:rFonts w:hint="eastAsia" w:ascii="Calibri" w:hAnsi="Calibri" w:cs="Calibri"/>
          <w:sz w:val="24"/>
          <w:szCs w:val="24"/>
          <w:highlight w:val="none"/>
        </w:rPr>
        <w:t xml:space="preserve">﹝</w:t>
      </w:r>
      <w:r>
        <w:rPr>
          <w:rFonts w:ascii="Calibri" w:hAnsi="Calibri" w:cs="Calibri"/>
          <w:sz w:val="24"/>
          <w:szCs w:val="24"/>
          <w:highlight w:val="none"/>
        </w:rPr>
        <w:t xml:space="preserve">2020</w:t>
      </w:r>
      <w:r>
        <w:rPr>
          <w:rFonts w:hint="eastAsia" w:ascii="Calibri" w:hAnsi="Calibri" w:cs="Calibri"/>
          <w:sz w:val="24"/>
          <w:szCs w:val="24"/>
          <w:highlight w:val="none"/>
        </w:rPr>
        <w:t xml:space="preserve">﹞</w:t>
      </w:r>
      <w:r>
        <w:rPr>
          <w:rFonts w:ascii="Calibri" w:hAnsi="Calibri" w:cs="Calibri"/>
          <w:sz w:val="24"/>
          <w:szCs w:val="24"/>
          <w:highlight w:val="none"/>
        </w:rPr>
        <w:t xml:space="preserve">46号）的规定，本公司参加</w:t>
      </w:r>
      <w:r>
        <w:rPr>
          <w:rFonts w:hint="eastAsia" w:ascii="Calibri" w:hAnsi="Calibri" w:cs="Calibri"/>
          <w:b/>
          <w:i/>
          <w:sz w:val="24"/>
          <w:szCs w:val="24"/>
          <w:highlight w:val="none"/>
          <w:u w:val="single"/>
        </w:rPr>
        <w:t xml:space="preserve">  </w:t>
      </w:r>
      <w:r>
        <w:rPr>
          <w:rFonts w:hint="eastAsia" w:ascii="宋体" w:hAnsi="宋体" w:eastAsia="宋体" w:cs="宋体"/>
          <w:b/>
          <w:i/>
          <w:sz w:val="24"/>
          <w:szCs w:val="24"/>
          <w:highlight w:val="none"/>
          <w:u w:val="single"/>
        </w:rPr>
        <w:t xml:space="preserve">  （采购单位） </w:t>
      </w:r>
      <w:r>
        <w:rPr>
          <w:rFonts w:hint="eastAsia" w:ascii="Calibri" w:hAnsi="Calibri" w:cs="Calibri"/>
          <w:b/>
          <w:i/>
          <w:sz w:val="24"/>
          <w:szCs w:val="24"/>
          <w:highlight w:val="none"/>
          <w:u w:val="single"/>
        </w:rPr>
        <w:t xml:space="preserve"> </w:t>
      </w:r>
      <w:r>
        <w:rPr>
          <w:rFonts w:ascii="Calibri" w:hAnsi="Calibri" w:cs="Calibri"/>
          <w:sz w:val="24"/>
          <w:szCs w:val="24"/>
          <w:highlight w:val="none"/>
        </w:rPr>
        <w:t xml:space="preserve">的</w:t>
      </w:r>
      <w:r>
        <w:rPr>
          <w:rFonts w:hint="eastAsia" w:ascii="宋体" w:hAnsi="宋体" w:eastAsia="宋体" w:cs="宋体"/>
          <w:b/>
          <w:i/>
          <w:sz w:val="24"/>
          <w:szCs w:val="24"/>
          <w:highlight w:val="none"/>
          <w:u w:val="single"/>
        </w:rPr>
        <w:t xml:space="preserve">（项目名称 和 编号）   </w:t>
      </w:r>
      <w:r>
        <w:rPr>
          <w:rFonts w:ascii="Calibri" w:hAnsi="Calibri" w:cs="Calibri"/>
          <w:sz w:val="24"/>
          <w:szCs w:val="24"/>
          <w:highlight w:val="none"/>
        </w:rPr>
        <w:t xml:space="preserve">采购活动，提供的货物全部由符合政策要求的中小企业制造。相关企业的具体情况如下：</w:t>
      </w:r>
      <w:r/>
    </w:p>
    <w:p>
      <w:pPr>
        <w:ind w:firstLine="480"/>
        <w:spacing w:line="420" w:lineRule="exact"/>
        <w:widowControl/>
        <w:rPr>
          <w:rFonts w:ascii="Calibri" w:hAnsi="Calibri" w:cs="Calibri"/>
          <w:sz w:val="24"/>
          <w:szCs w:val="24"/>
          <w:highlight w:val="none"/>
        </w:rPr>
      </w:pPr>
      <w:r>
        <w:rPr>
          <w:rFonts w:ascii="Calibri" w:hAnsi="Calibri" w:cs="Calibri"/>
          <w:sz w:val="24"/>
          <w:szCs w:val="24"/>
          <w:highlight w:val="none"/>
        </w:rPr>
        <w:t xml:space="preserve">1</w:t>
      </w:r>
      <w:r>
        <w:rPr>
          <w:rFonts w:hint="eastAsia" w:ascii="Calibri" w:hAnsi="Calibri" w:cs="Calibri"/>
          <w:sz w:val="24"/>
          <w:szCs w:val="24"/>
          <w:highlight w:val="none"/>
        </w:rPr>
        <w:t xml:space="preserve">、</w:t>
      </w:r>
      <w:r>
        <w:rPr>
          <w:rFonts w:hint="eastAsia" w:ascii="Calibri" w:hAnsi="Calibri" w:cs="Calibri"/>
          <w:b/>
          <w:i/>
          <w:sz w:val="24"/>
          <w:szCs w:val="24"/>
          <w:highlight w:val="none"/>
          <w:u w:val="single"/>
        </w:rPr>
        <w:t xml:space="preserve">（标的名称）</w:t>
      </w:r>
      <w:r>
        <w:rPr>
          <w:rFonts w:ascii="Calibri" w:hAnsi="Calibri" w:cs="Calibri"/>
          <w:sz w:val="24"/>
          <w:szCs w:val="24"/>
          <w:highlight w:val="none"/>
        </w:rPr>
        <w:t xml:space="preserve">，属于</w:t>
      </w:r>
      <w:r>
        <w:rPr>
          <w:rFonts w:hint="eastAsia" w:ascii="Calibri" w:hAnsi="Calibri" w:cs="Calibri"/>
          <w:i/>
          <w:sz w:val="24"/>
          <w:szCs w:val="24"/>
          <w:highlight w:val="none"/>
          <w:u w:val="single"/>
        </w:rPr>
        <w:t xml:space="preserve">   工业    </w:t>
      </w:r>
      <w:r>
        <w:rPr>
          <w:rFonts w:hint="eastAsia" w:ascii="Calibri" w:hAnsi="Calibri" w:cs="Calibri"/>
          <w:sz w:val="24"/>
          <w:szCs w:val="24"/>
          <w:highlight w:val="none"/>
        </w:rPr>
        <w:t xml:space="preserve">行业</w:t>
      </w:r>
      <w:r>
        <w:rPr>
          <w:rFonts w:ascii="Calibri" w:hAnsi="Calibri" w:cs="Calibri"/>
          <w:sz w:val="24"/>
          <w:szCs w:val="24"/>
          <w:highlight w:val="none"/>
        </w:rPr>
        <w:t xml:space="preserve">；</w:t>
      </w:r>
      <w:r>
        <w:rPr>
          <w:rFonts w:hint="eastAsia" w:ascii="Calibri" w:hAnsi="Calibri" w:cs="Calibri"/>
          <w:sz w:val="24"/>
          <w:szCs w:val="24"/>
          <w:highlight w:val="none"/>
        </w:rPr>
        <w:t xml:space="preserve">制造商为</w:t>
      </w:r>
      <w:r>
        <w:rPr>
          <w:rFonts w:hint="eastAsia" w:ascii="Calibri" w:hAnsi="Calibri" w:cs="Calibri"/>
          <w:b/>
          <w:i/>
          <w:sz w:val="24"/>
          <w:szCs w:val="24"/>
          <w:highlight w:val="none"/>
          <w:u w:val="single"/>
        </w:rPr>
        <w:t xml:space="preserve">（企业名称）</w:t>
      </w:r>
      <w:r>
        <w:rPr>
          <w:rFonts w:hint="eastAsia" w:ascii="Calibri" w:hAnsi="Calibri" w:cs="Calibri"/>
          <w:sz w:val="24"/>
          <w:szCs w:val="24"/>
          <w:highlight w:val="none"/>
        </w:rPr>
        <w:t xml:space="preserve">，</w:t>
      </w:r>
      <w:r>
        <w:rPr>
          <w:rFonts w:ascii="Calibri" w:hAnsi="Calibri" w:cs="Calibri"/>
          <w:sz w:val="24"/>
          <w:szCs w:val="24"/>
          <w:highlight w:val="none"/>
        </w:rPr>
        <w:t xml:space="preserve">从业人员</w:t>
      </w:r>
      <w:r>
        <w:rPr>
          <w:rFonts w:ascii="Calibri" w:hAnsi="Calibri" w:cs="Calibri"/>
          <w:i/>
          <w:sz w:val="24"/>
          <w:szCs w:val="24"/>
          <w:highlight w:val="none"/>
          <w:u w:val="single"/>
        </w:rPr>
        <w:t xml:space="preserve"> </w:t>
      </w:r>
      <w:r>
        <w:rPr>
          <w:rFonts w:ascii="Calibri" w:hAnsi="Calibri" w:cs="Calibri"/>
          <w:i/>
          <w:sz w:val="24"/>
          <w:szCs w:val="24"/>
          <w:highlight w:val="none"/>
          <w:u w:val="single"/>
        </w:rPr>
        <w:tab/>
      </w:r>
      <w:r>
        <w:rPr>
          <w:rFonts w:hint="eastAsia" w:ascii="Calibri" w:hAnsi="Calibri" w:cs="Calibri"/>
          <w:i/>
          <w:sz w:val="24"/>
          <w:szCs w:val="24"/>
          <w:highlight w:val="none"/>
          <w:u w:val="single"/>
        </w:rPr>
        <w:t xml:space="preserve"> </w:t>
      </w:r>
      <w:r>
        <w:rPr>
          <w:rFonts w:ascii="Calibri" w:hAnsi="Calibri" w:cs="Calibri"/>
          <w:sz w:val="24"/>
          <w:szCs w:val="24"/>
          <w:highlight w:val="none"/>
        </w:rPr>
        <w:t xml:space="preserve">人，营业收入为</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ab/>
      </w:r>
      <w:r>
        <w:rPr>
          <w:rFonts w:ascii="Calibri" w:hAnsi="Calibri" w:cs="Calibri"/>
          <w:sz w:val="24"/>
          <w:szCs w:val="24"/>
          <w:highlight w:val="none"/>
        </w:rPr>
        <w:t xml:space="preserve">万元，资产总额为</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ab/>
      </w:r>
      <w:r>
        <w:rPr>
          <w:rFonts w:ascii="Calibri" w:hAnsi="Calibri"/>
          <w:sz w:val="24"/>
          <w:szCs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position w:val="16"/>
          <w:sz w:val="24"/>
          <w:szCs w:val="24"/>
          <w:highlight w:val="none"/>
        </w:rPr>
        <w:t xml:space="preserve">1</w:t>
      </w:r>
      <w:r>
        <w:rPr>
          <w:position w:val="16"/>
          <w:sz w:val="24"/>
          <w:szCs w:val="24"/>
          <w:highlight w:val="none"/>
        </w:rPr>
        <w:fldChar w:fldCharType="end"/>
      </w:r>
      <w:r>
        <w:rPr>
          <w:rFonts w:hint="eastAsia" w:ascii="Calibri" w:hAnsi="Calibri" w:cs="Calibri"/>
          <w:sz w:val="24"/>
          <w:szCs w:val="24"/>
          <w:highlight w:val="none"/>
        </w:rPr>
        <w:t xml:space="preserve">，</w:t>
      </w:r>
      <w:r>
        <w:rPr>
          <w:rFonts w:ascii="Calibri" w:hAnsi="Calibri" w:cs="Calibri"/>
          <w:sz w:val="24"/>
          <w:szCs w:val="24"/>
          <w:highlight w:val="none"/>
        </w:rPr>
        <w:t xml:space="preserve">属于</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 xml:space="preserve">  </w:t>
      </w:r>
      <w:r>
        <w:rPr>
          <w:rFonts w:ascii="Calibri" w:hAnsi="Calibri" w:cs="Calibri"/>
          <w:i/>
          <w:sz w:val="24"/>
          <w:szCs w:val="24"/>
          <w:highlight w:val="none"/>
          <w:u w:val="single"/>
        </w:rPr>
        <w:tab/>
      </w:r>
      <w:r>
        <w:rPr>
          <w:rFonts w:hint="eastAsia" w:ascii="Calibri" w:hAnsi="Calibri" w:cs="Calibri"/>
          <w:sz w:val="24"/>
          <w:szCs w:val="24"/>
          <w:highlight w:val="none"/>
        </w:rPr>
        <w:t xml:space="preserve"> </w:t>
      </w:r>
      <w:r>
        <w:rPr>
          <w:rFonts w:hint="eastAsia" w:ascii="Calibri" w:hAnsi="Calibri" w:cs="Calibri"/>
          <w:b/>
          <w:i/>
          <w:sz w:val="24"/>
          <w:szCs w:val="24"/>
          <w:highlight w:val="none"/>
        </w:rPr>
        <w:t xml:space="preserve">（中型企业、小型企业、微型企业，</w:t>
      </w:r>
      <w:r>
        <w:rPr>
          <w:rFonts w:hint="eastAsia" w:ascii="宋体" w:hAnsi="宋体"/>
          <w:b/>
          <w:bCs/>
          <w:i/>
          <w:sz w:val="24"/>
          <w:highlight w:val="none"/>
        </w:rPr>
        <w:t xml:space="preserve">三者选一填写</w:t>
      </w:r>
      <w:r>
        <w:rPr>
          <w:rFonts w:hint="eastAsia" w:ascii="Calibri" w:hAnsi="Calibri" w:cs="Calibri"/>
          <w:b/>
          <w:i/>
          <w:sz w:val="24"/>
          <w:szCs w:val="24"/>
          <w:highlight w:val="none"/>
        </w:rPr>
        <w:t xml:space="preserve">）</w:t>
      </w:r>
      <w:r>
        <w:rPr>
          <w:rFonts w:ascii="Calibri" w:hAnsi="Calibri" w:cs="Calibri"/>
          <w:sz w:val="24"/>
          <w:szCs w:val="24"/>
          <w:highlight w:val="none"/>
        </w:rPr>
        <w:t xml:space="preserve">；</w:t>
      </w:r>
      <w:r/>
    </w:p>
    <w:p>
      <w:pPr>
        <w:ind w:firstLine="480"/>
        <w:spacing w:line="420" w:lineRule="exact"/>
        <w:widowControl/>
        <w:rPr>
          <w:rFonts w:ascii="Calibri" w:hAnsi="Calibri" w:cs="Calibri"/>
          <w:sz w:val="24"/>
          <w:szCs w:val="24"/>
          <w:highlight w:val="none"/>
        </w:rPr>
      </w:pPr>
      <w:r>
        <w:rPr>
          <w:rFonts w:hint="eastAsia" w:ascii="Calibri" w:hAnsi="Calibri" w:cs="Calibri"/>
          <w:sz w:val="24"/>
          <w:szCs w:val="24"/>
          <w:highlight w:val="none"/>
        </w:rPr>
        <w:t xml:space="preserve">2、</w:t>
      </w:r>
      <w:r>
        <w:rPr>
          <w:rFonts w:hint="eastAsia" w:ascii="Calibri" w:hAnsi="Calibri" w:cs="Calibri"/>
          <w:b/>
          <w:i/>
          <w:sz w:val="24"/>
          <w:szCs w:val="24"/>
          <w:highlight w:val="none"/>
          <w:u w:val="single"/>
        </w:rPr>
        <w:t xml:space="preserve">（标的名称）</w:t>
      </w:r>
      <w:r>
        <w:rPr>
          <w:rFonts w:ascii="Calibri" w:hAnsi="Calibri" w:cs="Calibri"/>
          <w:sz w:val="24"/>
          <w:szCs w:val="24"/>
          <w:highlight w:val="none"/>
        </w:rPr>
        <w:t xml:space="preserve">，属于</w:t>
      </w:r>
      <w:r>
        <w:rPr>
          <w:rFonts w:hint="eastAsia" w:ascii="Calibri" w:hAnsi="Calibri" w:cs="Calibri"/>
          <w:i/>
          <w:sz w:val="24"/>
          <w:szCs w:val="24"/>
          <w:highlight w:val="none"/>
          <w:u w:val="single"/>
        </w:rPr>
        <w:t xml:space="preserve">   工业    </w:t>
      </w:r>
      <w:r>
        <w:rPr>
          <w:rFonts w:hint="eastAsia" w:ascii="Calibri" w:hAnsi="Calibri" w:cs="Calibri"/>
          <w:sz w:val="24"/>
          <w:szCs w:val="24"/>
          <w:highlight w:val="none"/>
        </w:rPr>
        <w:t xml:space="preserve">行业</w:t>
      </w:r>
      <w:r>
        <w:rPr>
          <w:rFonts w:ascii="Calibri" w:hAnsi="Calibri" w:cs="Calibri"/>
          <w:sz w:val="24"/>
          <w:szCs w:val="24"/>
          <w:highlight w:val="none"/>
        </w:rPr>
        <w:t xml:space="preserve">；</w:t>
      </w:r>
      <w:r>
        <w:rPr>
          <w:rFonts w:hint="eastAsia" w:ascii="Calibri" w:hAnsi="Calibri" w:cs="Calibri"/>
          <w:sz w:val="24"/>
          <w:szCs w:val="24"/>
          <w:highlight w:val="none"/>
        </w:rPr>
        <w:t xml:space="preserve">制造商为</w:t>
      </w:r>
      <w:r>
        <w:rPr>
          <w:rFonts w:hint="eastAsia" w:ascii="Calibri" w:hAnsi="Calibri" w:cs="Calibri"/>
          <w:b/>
          <w:i/>
          <w:sz w:val="24"/>
          <w:szCs w:val="24"/>
          <w:highlight w:val="none"/>
          <w:u w:val="single"/>
        </w:rPr>
        <w:t xml:space="preserve">（企业名称）</w:t>
      </w:r>
      <w:r>
        <w:rPr>
          <w:rFonts w:hint="eastAsia" w:ascii="Calibri" w:hAnsi="Calibri" w:cs="Calibri"/>
          <w:sz w:val="24"/>
          <w:szCs w:val="24"/>
          <w:highlight w:val="none"/>
        </w:rPr>
        <w:t xml:space="preserve">，</w:t>
      </w:r>
      <w:r>
        <w:rPr>
          <w:rFonts w:ascii="Calibri" w:hAnsi="Calibri" w:cs="Calibri"/>
          <w:sz w:val="24"/>
          <w:szCs w:val="24"/>
          <w:highlight w:val="none"/>
        </w:rPr>
        <w:t xml:space="preserve">从业人员</w:t>
      </w:r>
      <w:r>
        <w:rPr>
          <w:rFonts w:ascii="Calibri" w:hAnsi="Calibri" w:cs="Calibri"/>
          <w:i/>
          <w:sz w:val="24"/>
          <w:szCs w:val="24"/>
          <w:highlight w:val="none"/>
          <w:u w:val="single"/>
        </w:rPr>
        <w:t xml:space="preserve"> </w:t>
      </w:r>
      <w:r>
        <w:rPr>
          <w:rFonts w:ascii="Calibri" w:hAnsi="Calibri" w:cs="Calibri"/>
          <w:i/>
          <w:sz w:val="24"/>
          <w:szCs w:val="24"/>
          <w:highlight w:val="none"/>
          <w:u w:val="single"/>
        </w:rPr>
        <w:tab/>
      </w:r>
      <w:r>
        <w:rPr>
          <w:rFonts w:hint="eastAsia" w:ascii="Calibri" w:hAnsi="Calibri" w:cs="Calibri"/>
          <w:i/>
          <w:sz w:val="24"/>
          <w:szCs w:val="24"/>
          <w:highlight w:val="none"/>
          <w:u w:val="single"/>
        </w:rPr>
        <w:t xml:space="preserve"> </w:t>
      </w:r>
      <w:r>
        <w:rPr>
          <w:rFonts w:ascii="Calibri" w:hAnsi="Calibri" w:cs="Calibri"/>
          <w:sz w:val="24"/>
          <w:szCs w:val="24"/>
          <w:highlight w:val="none"/>
        </w:rPr>
        <w:t xml:space="preserve">人，营业收入为</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ab/>
      </w:r>
      <w:r>
        <w:rPr>
          <w:rFonts w:ascii="Calibri" w:hAnsi="Calibri" w:cs="Calibri"/>
          <w:sz w:val="24"/>
          <w:szCs w:val="24"/>
          <w:highlight w:val="none"/>
        </w:rPr>
        <w:t xml:space="preserve">万元，资产总额为</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ab/>
      </w:r>
      <w:r>
        <w:rPr>
          <w:rFonts w:ascii="Calibri" w:hAnsi="Calibri"/>
          <w:sz w:val="24"/>
          <w:szCs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position w:val="16"/>
          <w:sz w:val="24"/>
          <w:szCs w:val="24"/>
          <w:highlight w:val="none"/>
        </w:rPr>
        <w:t xml:space="preserve">1</w:t>
      </w:r>
      <w:r>
        <w:rPr>
          <w:position w:val="16"/>
          <w:sz w:val="24"/>
          <w:szCs w:val="24"/>
          <w:highlight w:val="none"/>
        </w:rPr>
        <w:fldChar w:fldCharType="end"/>
      </w:r>
      <w:r>
        <w:rPr>
          <w:rFonts w:hint="eastAsia" w:ascii="Calibri" w:hAnsi="Calibri" w:cs="Calibri"/>
          <w:sz w:val="24"/>
          <w:szCs w:val="24"/>
          <w:highlight w:val="none"/>
        </w:rPr>
        <w:t xml:space="preserve">，</w:t>
      </w:r>
      <w:r>
        <w:rPr>
          <w:rFonts w:ascii="Calibri" w:hAnsi="Calibri" w:cs="Calibri"/>
          <w:sz w:val="24"/>
          <w:szCs w:val="24"/>
          <w:highlight w:val="none"/>
        </w:rPr>
        <w:t xml:space="preserve">属于</w:t>
      </w:r>
      <w:r>
        <w:rPr>
          <w:rFonts w:ascii="Calibri" w:hAnsi="Calibri" w:cs="Calibri"/>
          <w:i/>
          <w:sz w:val="24"/>
          <w:szCs w:val="24"/>
          <w:highlight w:val="none"/>
          <w:u w:val="single"/>
        </w:rPr>
        <w:t xml:space="preserve"> </w:t>
      </w:r>
      <w:r>
        <w:rPr>
          <w:rFonts w:hint="eastAsia" w:ascii="Calibri" w:hAnsi="Calibri" w:cs="Calibri"/>
          <w:i/>
          <w:sz w:val="24"/>
          <w:szCs w:val="24"/>
          <w:highlight w:val="none"/>
          <w:u w:val="single"/>
        </w:rPr>
        <w:t xml:space="preserve">  </w:t>
      </w:r>
      <w:r>
        <w:rPr>
          <w:rFonts w:ascii="Calibri" w:hAnsi="Calibri" w:cs="Calibri"/>
          <w:i/>
          <w:sz w:val="24"/>
          <w:szCs w:val="24"/>
          <w:highlight w:val="none"/>
          <w:u w:val="single"/>
        </w:rPr>
        <w:t xml:space="preserve">  </w:t>
      </w:r>
      <w:r>
        <w:rPr>
          <w:rFonts w:ascii="Calibri" w:hAnsi="Calibri" w:cs="Calibri"/>
          <w:i/>
          <w:sz w:val="24"/>
          <w:szCs w:val="24"/>
          <w:highlight w:val="none"/>
          <w:u w:val="single"/>
        </w:rPr>
        <w:tab/>
      </w:r>
      <w:r>
        <w:rPr>
          <w:rFonts w:hint="eastAsia" w:ascii="Calibri" w:hAnsi="Calibri" w:cs="Calibri"/>
          <w:sz w:val="24"/>
          <w:szCs w:val="24"/>
          <w:highlight w:val="none"/>
        </w:rPr>
        <w:t xml:space="preserve"> </w:t>
      </w:r>
      <w:r>
        <w:rPr>
          <w:rFonts w:hint="eastAsia" w:ascii="Calibri" w:hAnsi="Calibri" w:cs="Calibri"/>
          <w:b/>
          <w:i/>
          <w:sz w:val="24"/>
          <w:szCs w:val="24"/>
          <w:highlight w:val="none"/>
        </w:rPr>
        <w:t xml:space="preserve">（中型企业、小型企业、微型企业，</w:t>
      </w:r>
      <w:r>
        <w:rPr>
          <w:rFonts w:hint="eastAsia" w:ascii="宋体" w:hAnsi="宋体"/>
          <w:b/>
          <w:bCs/>
          <w:i/>
          <w:sz w:val="24"/>
          <w:highlight w:val="none"/>
        </w:rPr>
        <w:t xml:space="preserve">三者选一填写</w:t>
      </w:r>
      <w:r>
        <w:rPr>
          <w:rFonts w:hint="eastAsia" w:ascii="Calibri" w:hAnsi="Calibri" w:cs="Calibri"/>
          <w:b/>
          <w:i/>
          <w:sz w:val="24"/>
          <w:szCs w:val="24"/>
          <w:highlight w:val="none"/>
        </w:rPr>
        <w:t xml:space="preserve">）</w:t>
      </w:r>
      <w:r>
        <w:rPr>
          <w:rFonts w:ascii="Calibri" w:hAnsi="Calibri" w:cs="Calibri"/>
          <w:sz w:val="24"/>
          <w:szCs w:val="24"/>
          <w:highlight w:val="none"/>
        </w:rPr>
        <w:t xml:space="preserve">；</w:t>
      </w:r>
      <w:r/>
    </w:p>
    <w:p>
      <w:pPr>
        <w:ind w:firstLine="480"/>
        <w:spacing w:line="420" w:lineRule="exact"/>
        <w:widowControl/>
        <w:rPr>
          <w:rFonts w:ascii="Calibri" w:hAnsi="Calibri" w:cs="Calibri"/>
          <w:sz w:val="24"/>
          <w:szCs w:val="24"/>
          <w:highlight w:val="none"/>
        </w:rPr>
      </w:pPr>
      <w:r>
        <w:rPr>
          <w:rFonts w:ascii="Calibri" w:hAnsi="Calibri" w:cs="Calibri"/>
          <w:sz w:val="24"/>
          <w:szCs w:val="24"/>
          <w:highlight w:val="none"/>
        </w:rPr>
        <w:t xml:space="preserve">……</w:t>
      </w:r>
      <w:r/>
    </w:p>
    <w:p>
      <w:pPr>
        <w:ind w:firstLine="480"/>
        <w:spacing w:line="420" w:lineRule="exact"/>
        <w:widowControl/>
        <w:rPr>
          <w:rFonts w:ascii="Calibri" w:hAnsi="Calibri" w:cs="Calibri"/>
          <w:sz w:val="24"/>
          <w:szCs w:val="24"/>
          <w:highlight w:val="none"/>
        </w:rPr>
      </w:pPr>
      <w:r>
        <w:rPr>
          <w:rFonts w:hint="eastAsia" w:ascii="Calibri" w:hAnsi="Calibri" w:cs="Calibri"/>
          <w:sz w:val="24"/>
          <w:szCs w:val="24"/>
          <w:highlight w:val="none"/>
        </w:rPr>
        <w:t xml:space="preserve">以上企业，不属于大企业的分支机构，不存在控股股东为大企业的情形，也不存在与大企业的负责人为同一人的情形。</w:t>
      </w:r>
      <w:r/>
    </w:p>
    <w:p>
      <w:pPr>
        <w:ind w:firstLine="480"/>
        <w:spacing w:line="420" w:lineRule="exact"/>
        <w:widowControl/>
        <w:rPr>
          <w:rFonts w:ascii="Calibri" w:hAnsi="Calibri" w:cs="Calibri"/>
          <w:sz w:val="24"/>
          <w:szCs w:val="24"/>
          <w:highlight w:val="none"/>
        </w:rPr>
      </w:pPr>
      <w:r>
        <w:rPr>
          <w:rFonts w:hint="eastAsia" w:ascii="Calibri" w:hAnsi="Calibri" w:cs="Calibri"/>
          <w:sz w:val="24"/>
          <w:szCs w:val="24"/>
          <w:highlight w:val="none"/>
        </w:rPr>
        <w:t xml:space="preserve">本企业对上述声明内容的真实性负责。如有虚假，将依法承担相应责任。</w:t>
      </w:r>
      <w:r/>
    </w:p>
    <w:p>
      <w:pPr>
        <w:ind w:firstLine="2880"/>
        <w:spacing w:line="420" w:lineRule="exact"/>
        <w:widowControl/>
        <w:rPr>
          <w:rFonts w:ascii="Calibri" w:hAnsi="Calibri" w:cs="Calibri"/>
          <w:sz w:val="24"/>
          <w:szCs w:val="24"/>
          <w:highlight w:val="none"/>
        </w:rPr>
      </w:pPr>
      <w:r>
        <w:rPr>
          <w:rFonts w:hint="eastAsia" w:ascii="Calibri" w:hAnsi="Calibri" w:cs="Calibri"/>
          <w:sz w:val="24"/>
          <w:szCs w:val="24"/>
          <w:highlight w:val="none"/>
        </w:rPr>
        <w:t xml:space="preserve">企业名称（盖章）：</w:t>
      </w:r>
      <w:r/>
    </w:p>
    <w:p>
      <w:pPr>
        <w:ind w:firstLine="2880"/>
        <w:spacing w:line="420" w:lineRule="exact"/>
        <w:widowControl/>
        <w:rPr>
          <w:rFonts w:ascii="Calibri" w:hAnsi="Calibri" w:cs="Calibri"/>
          <w:sz w:val="24"/>
          <w:szCs w:val="24"/>
          <w:highlight w:val="none"/>
        </w:rPr>
      </w:pPr>
      <w:r>
        <w:rPr>
          <w:rFonts w:hint="eastAsia" w:ascii="Calibri" w:hAnsi="Calibri" w:cs="Calibri"/>
          <w:sz w:val="24"/>
          <w:szCs w:val="24"/>
          <w:highlight w:val="none"/>
        </w:rPr>
        <w:t xml:space="preserve">日期：</w:t>
      </w:r>
      <w:r/>
    </w:p>
    <w:p>
      <w:pPr>
        <w:ind w:firstLine="420"/>
        <w:spacing w:line="420" w:lineRule="exact"/>
        <w:widowControl/>
        <w:rPr>
          <w:rFonts w:ascii="Calibri" w:hAnsi="Calibri" w:cs="Calibri"/>
          <w:sz w:val="24"/>
          <w:szCs w:val="24"/>
          <w:highlight w:val="none"/>
        </w:rPr>
      </w:pPr>
      <w:r>
        <w:rPr>
          <w:highlight w:val="none"/>
        </w:rPr>
        <w:fldChar w:fldCharType="begin"/>
      </w:r>
      <w:r>
        <w:rPr>
          <w:highlight w:val="none"/>
        </w:rPr>
        <w:instrText xml:space="preserve"> HYPERLINK \l "_bookmark1" </w:instrText>
      </w:r>
      <w:r>
        <w:rPr>
          <w:highlight w:val="none"/>
        </w:rPr>
        <w:fldChar w:fldCharType="separate"/>
      </w:r>
      <w:r>
        <w:rPr>
          <w:position w:val="16"/>
          <w:sz w:val="24"/>
          <w:szCs w:val="24"/>
          <w:highlight w:val="none"/>
        </w:rPr>
        <w:t xml:space="preserve">1</w:t>
      </w:r>
      <w:r>
        <w:rPr>
          <w:position w:val="16"/>
          <w:sz w:val="24"/>
          <w:szCs w:val="24"/>
          <w:highlight w:val="none"/>
        </w:rPr>
        <w:fldChar w:fldCharType="end"/>
      </w:r>
      <w:r>
        <w:rPr>
          <w:rFonts w:hint="eastAsia" w:ascii="Calibri" w:hAnsi="Calibri" w:cs="Calibri"/>
          <w:sz w:val="24"/>
          <w:szCs w:val="24"/>
          <w:highlight w:val="none"/>
        </w:rPr>
        <w:t xml:space="preserve">从业人员、营业收入、资产总额填报上一年度数据，无上一年度数据的新成立企业可不填报。</w:t>
      </w:r>
      <w:r/>
    </w:p>
    <w:p>
      <w:pPr>
        <w:ind w:firstLine="480"/>
        <w:spacing w:line="420" w:lineRule="exact"/>
        <w:widowControl/>
        <w:rPr>
          <w:rFonts w:ascii="Calibri" w:hAnsi="Calibri" w:cs="Calibri"/>
          <w:sz w:val="24"/>
          <w:szCs w:val="24"/>
          <w:highlight w:val="none"/>
        </w:rPr>
      </w:pPr>
      <w:r>
        <w:rPr>
          <w:rFonts w:ascii="Calibri" w:hAnsi="Calibri" w:cs="Calibri"/>
          <w:sz w:val="24"/>
          <w:szCs w:val="24"/>
          <w:highlight w:val="none"/>
        </w:rPr>
      </w:r>
      <w:r/>
    </w:p>
    <w:p>
      <w:pPr>
        <w:ind w:firstLine="480"/>
        <w:spacing w:line="420" w:lineRule="exact"/>
        <w:widowControl/>
        <w:rPr>
          <w:rFonts w:ascii="Calibri" w:hAnsi="Calibri" w:cs="Calibri"/>
          <w:sz w:val="24"/>
          <w:szCs w:val="24"/>
          <w:highlight w:val="none"/>
        </w:rPr>
      </w:pPr>
      <w:r>
        <w:rPr>
          <w:rFonts w:hint="eastAsia" w:ascii="Calibri" w:hAnsi="Calibri" w:cs="Calibri"/>
          <w:sz w:val="24"/>
          <w:szCs w:val="24"/>
          <w:highlight w:val="none"/>
        </w:rPr>
        <w:t xml:space="preserve">备注：1、本项目</w:t>
      </w:r>
      <w:r>
        <w:rPr>
          <w:rFonts w:hint="eastAsia" w:ascii="Calibri" w:hAnsi="Calibri" w:cs="Calibri"/>
          <w:b/>
          <w:bCs/>
          <w:sz w:val="24"/>
          <w:szCs w:val="24"/>
          <w:highlight w:val="none"/>
        </w:rPr>
        <w:t xml:space="preserve">专门面向中小企业采购</w:t>
      </w:r>
      <w:r>
        <w:rPr>
          <w:rFonts w:hint="eastAsia" w:ascii="Calibri" w:hAnsi="Calibri" w:cs="Calibri"/>
          <w:sz w:val="24"/>
          <w:szCs w:val="24"/>
          <w:highlight w:val="none"/>
        </w:rPr>
        <w:t xml:space="preserve">，投标人应提供中小企业声明函或残疾人福利性单位声明函或省级以上监狱管理局、戒毒管理局（含新疆生产建设兵团）出具的属于监狱企业的证明文件,否则视为投标无效。</w:t>
      </w:r>
      <w:r/>
    </w:p>
    <w:p>
      <w:pPr>
        <w:ind w:firstLine="960"/>
        <w:spacing w:line="420" w:lineRule="exact"/>
        <w:widowControl/>
        <w:rPr>
          <w:rFonts w:ascii="Calibri" w:hAnsi="Calibri" w:cs="Calibri"/>
          <w:sz w:val="24"/>
          <w:szCs w:val="24"/>
          <w:highlight w:val="none"/>
        </w:rPr>
        <w:pBdr>
          <w:top w:val="none" w:color="000000" w:sz="0" w:space="0"/>
          <w:left w:val="none" w:color="000000" w:sz="0" w:space="0"/>
          <w:bottom w:val="none" w:color="000000" w:sz="0" w:space="0"/>
          <w:right w:val="none" w:color="000000" w:sz="0" w:space="0"/>
        </w:pBdr>
      </w:pPr>
      <w:r>
        <w:rPr>
          <w:rFonts w:hint="eastAsia" w:ascii="Calibri" w:hAnsi="Calibri" w:cs="Calibri"/>
          <w:sz w:val="24"/>
          <w:szCs w:val="24"/>
          <w:highlight w:val="none"/>
        </w:rPr>
        <w:t xml:space="preserve">2、投标人提供的中小企业声明函必须包含本项目</w:t>
      </w:r>
      <w:r>
        <w:rPr>
          <w:rFonts w:hint="eastAsia" w:ascii="Calibri" w:hAnsi="Calibri" w:cs="Calibri"/>
          <w:b/>
          <w:bCs/>
          <w:sz w:val="24"/>
          <w:szCs w:val="24"/>
          <w:highlight w:val="none"/>
        </w:rPr>
        <w:t xml:space="preserve">标注为工业的所有货物及其货物制造商</w:t>
      </w:r>
      <w:r>
        <w:rPr>
          <w:rFonts w:hint="eastAsia" w:ascii="Calibri" w:hAnsi="Calibri" w:cs="Calibri"/>
          <w:sz w:val="24"/>
          <w:szCs w:val="24"/>
          <w:highlight w:val="none"/>
        </w:rPr>
        <w:t xml:space="preserve">，并按照声明函格式填写完整、明确，否则视为未按规定提供声明函，投标无效。</w:t>
      </w:r>
      <w:r/>
    </w:p>
    <w:p>
      <w:pPr>
        <w:ind w:firstLine="960"/>
        <w:spacing w:line="420" w:lineRule="exact"/>
        <w:widowControl/>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Calibri" w:hAnsi="Calibri" w:cs="Calibri"/>
          <w:sz w:val="24"/>
          <w:szCs w:val="24"/>
          <w:highlight w:val="none"/>
        </w:rPr>
        <w:t xml:space="preserve">3、中标、成交供应商享受规定的中小企业扶持政策的，《中小企业声明函》应当随中标、成交结果同时公告，接受社会监督。</w:t>
      </w:r>
      <w:r/>
    </w:p>
    <w:p>
      <w:pPr>
        <w:ind w:firstLine="480"/>
        <w:spacing w:line="360" w:lineRule="exact"/>
        <w:rPr>
          <w:rFonts w:ascii="宋体" w:hAnsi="宋体" w:eastAsia="宋体"/>
        </w:rPr>
      </w:pPr>
      <w:r>
        <w:rPr>
          <w:rFonts w:ascii="宋体" w:hAnsi="宋体" w:eastAsia="宋体"/>
        </w:rPr>
      </w:r>
      <w:r/>
    </w:p>
    <w:p>
      <w:pPr>
        <w:spacing w:line="439"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 </w:t>
      </w:r>
      <w:r/>
    </w:p>
    <w:p>
      <w:pPr>
        <w:spacing w:line="439" w:lineRule="atLeast"/>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spacing w:line="439" w:lineRule="atLeas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18、</w:t>
      </w:r>
      <w:r>
        <w:rPr>
          <w:rFonts w:ascii="宋体" w:hAnsi="宋体" w:eastAsia="宋体" w:cs="宋体"/>
          <w:b/>
          <w:color w:val="000000"/>
          <w:sz w:val="32"/>
          <w:highlight w:val="none"/>
        </w:rPr>
        <w:t xml:space="preserve">残疾人福利性单位声明函（如有）</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256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残疾人福利性单位声明函</w:t>
      </w:r>
      <w:r/>
    </w:p>
    <w:p>
      <w:pPr>
        <w:ind w:firstLine="1928"/>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 </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本单位对上述声明的真实性负责。如有虚假，将依法承担相应责任。</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单位名称（盖章）：</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 期：</w:t>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line="479"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19、监狱企业证明文件（如有）</w:t>
      </w:r>
      <w:r>
        <w:rPr>
          <w:rFonts w:hint="eastAsia" w:ascii="宋体" w:hAnsi="宋体" w:cs="宋体"/>
          <w:b/>
          <w:color w:val="000000"/>
          <w:sz w:val="32"/>
        </w:rPr>
        <w:br/>
      </w:r>
      <w:r>
        <w:rPr>
          <w:rFonts w:hint="eastAsia" w:ascii="宋体" w:hAnsi="宋体" w:cs="宋体"/>
          <w:sz w:val="24"/>
        </w:rPr>
        <w:br/>
      </w:r>
      <w:r>
        <w:rPr>
          <w:rFonts w:hint="eastAsia" w:ascii="宋体" w:hAnsi="宋体" w:cs="宋体"/>
          <w:sz w:val="24"/>
        </w:rPr>
        <w:br/>
      </w:r>
      <w:r>
        <w:rPr>
          <w:rFonts w:hint="eastAsia" w:ascii="宋体" w:hAnsi="宋体" w:cs="宋体"/>
          <w:sz w:val="24"/>
        </w:rPr>
        <w:t xml:space="preserve">                    </w:t>
      </w:r>
      <w:r>
        <w:rPr>
          <w:rFonts w:hint="eastAsia" w:ascii="宋体" w:hAnsi="宋体" w:cs="宋体"/>
          <w:color w:val="000000"/>
          <w:sz w:val="32"/>
        </w:rPr>
        <w:t xml:space="preserve">监狱企业证明文件</w:t>
      </w:r>
      <w:r>
        <w:rPr>
          <w:rFonts w:hint="eastAsia" w:ascii="宋体" w:hAnsi="宋体" w:cs="宋体"/>
          <w:color w:val="000000"/>
          <w:sz w:val="32"/>
        </w:rPr>
        <w:br/>
      </w:r>
      <w:r>
        <w:rPr>
          <w:rFonts w:hint="eastAsia" w:ascii="宋体" w:hAnsi="宋体" w:cs="宋体"/>
          <w:color w:val="000000"/>
          <w:sz w:val="32"/>
        </w:rPr>
        <w:br/>
      </w:r>
      <w:r>
        <w:rPr>
          <w:rFonts w:hint="eastAsia" w:ascii="宋体" w:hAnsi="宋体" w:cs="宋体"/>
          <w:color w:val="000000"/>
          <w:sz w:val="32"/>
        </w:rPr>
        <w:t xml:space="preserve"> </w:t>
      </w:r>
      <w:r>
        <w:rPr>
          <w:rFonts w:hint="eastAsia" w:ascii="宋体" w:hAnsi="宋体" w:cs="宋体"/>
          <w:color w:val="000000"/>
          <w:sz w:val="24"/>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ind w:firstLine="482"/>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r>
      <w:r/>
    </w:p>
    <w:p>
      <w:pPr>
        <w:ind w:firstLine="482"/>
        <w:pBdr>
          <w:top w:val="none" w:color="000000" w:sz="0" w:space="0"/>
          <w:left w:val="none" w:color="000000" w:sz="0" w:space="0"/>
          <w:bottom w:val="none" w:color="000000" w:sz="0" w:space="0"/>
          <w:right w:val="none" w:color="000000" w:sz="0" w:space="0"/>
        </w:pBdr>
      </w:pPr>
      <w:r/>
      <w:r/>
    </w:p>
    <w:p>
      <w:pPr>
        <w:ind w:firstLine="482"/>
        <w:pBdr>
          <w:top w:val="none" w:color="000000" w:sz="0" w:space="0"/>
          <w:left w:val="none" w:color="000000" w:sz="0" w:space="0"/>
          <w:bottom w:val="none" w:color="000000" w:sz="0" w:space="0"/>
          <w:right w:val="none" w:color="000000" w:sz="0" w:space="0"/>
        </w:pBdr>
      </w:pPr>
      <w:r/>
      <w:r/>
    </w:p>
    <w:p>
      <w:pPr>
        <w:ind w:firstLine="482"/>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sz w:val="24"/>
        </w:rPr>
        <w:t xml:space="preserve"> </w:t>
      </w:r>
      <w:r/>
    </w:p>
    <w:p>
      <w:pPr>
        <w:pStyle w:val="999"/>
        <w:ind w:firstLine="0"/>
        <w:rPr>
          <w:rFonts w:ascii="宋体" w:hAnsi="宋体" w:cs="宋体"/>
        </w:rPr>
      </w:pPr>
      <w:r>
        <w:rPr>
          <w:rFonts w:ascii="宋体" w:hAnsi="宋体" w:cs="宋体"/>
        </w:rPr>
      </w:r>
      <w:r/>
    </w:p>
    <w:p>
      <w:pPr>
        <w:pStyle w:val="999"/>
        <w:ind w:firstLine="0"/>
        <w:rPr>
          <w:rFonts w:ascii="宋体" w:hAnsi="宋体" w:cs="宋体"/>
        </w:rPr>
      </w:pPr>
      <w:r>
        <w:rPr>
          <w:rFonts w:hint="eastAsia" w:ascii="宋体" w:hAnsi="宋体" w:cs="宋体"/>
        </w:rPr>
        <w:t xml:space="preserve">第五部分  评标方法与评标标准</w:t>
      </w:r>
      <w:r/>
    </w:p>
    <w:p>
      <w:pPr>
        <w:ind w:firstLine="422"/>
        <w:jc w:val="left"/>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评标方法</w:t>
      </w:r>
      <w:r/>
    </w:p>
    <w:p>
      <w:pPr>
        <w:pStyle w:val="840"/>
        <w:ind w:firstLine="480"/>
        <w:spacing w:line="480" w:lineRule="exact"/>
        <w:rPr>
          <w:rFonts w:asciiTheme="minorEastAsia" w:hAnsiTheme="minorEastAsia" w:eastAsiaTheme="minorEastAsia"/>
          <w:sz w:val="24"/>
        </w:rPr>
      </w:pPr>
      <w:r>
        <w:rPr>
          <w:rFonts w:hint="eastAsia" w:asciiTheme="minorEastAsia" w:hAnsiTheme="minorEastAsia" w:eastAsiaTheme="minorEastAsia"/>
          <w:sz w:val="24"/>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pStyle w:val="840"/>
        <w:spacing w:line="480" w:lineRule="exact"/>
        <w:rPr>
          <w:rFonts w:asciiTheme="minorEastAsia" w:hAnsiTheme="minorEastAsia" w:eastAsiaTheme="minorEastAsia"/>
          <w:sz w:val="24"/>
        </w:rPr>
      </w:pPr>
      <w:r>
        <w:rPr>
          <w:rFonts w:asciiTheme="minorEastAsia" w:hAnsiTheme="minorEastAsia" w:eastAsiaTheme="minorEastAsia"/>
          <w:sz w:val="24"/>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pStyle w:val="840"/>
        <w:spacing w:line="480" w:lineRule="exact"/>
        <w:rPr>
          <w:rFonts w:asciiTheme="minorEastAsia" w:hAnsiTheme="minorEastAsia" w:eastAsiaTheme="minorEastAsia"/>
          <w:sz w:val="24"/>
        </w:rPr>
      </w:pPr>
      <w:r>
        <w:rPr>
          <w:rFonts w:asciiTheme="minorEastAsia" w:hAnsiTheme="minorEastAsia" w:eastAsiaTheme="minorEastAsia"/>
          <w:sz w:val="24"/>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40"/>
        <w:spacing w:line="480" w:lineRule="exact"/>
        <w:rPr>
          <w:rFonts w:asciiTheme="minorEastAsia" w:hAnsiTheme="minorEastAsia" w:eastAsiaTheme="minorEastAsia"/>
          <w:sz w:val="24"/>
        </w:rPr>
      </w:pPr>
      <w:r>
        <w:rPr>
          <w:rFonts w:asciiTheme="minorEastAsia" w:hAnsiTheme="minorEastAsia" w:eastAsiaTheme="minorEastAsia"/>
          <w:sz w:val="24"/>
        </w:rPr>
        <w:t xml:space="preserve">    四、如出现评审得分最高的投标人有两个或两个以上的，以投标报价较低者优先作为该标段中标候选人，如果投标报价也相同的，则由公证机构组织以抽签方式确定中标候选人。</w:t>
      </w:r>
      <w:r/>
    </w:p>
    <w:p>
      <w:pPr>
        <w:pStyle w:val="840"/>
        <w:ind w:firstLine="480"/>
        <w:spacing w:line="480" w:lineRule="exact"/>
        <w:rPr>
          <w:rFonts w:asciiTheme="minorEastAsia" w:hAnsiTheme="minorEastAsia" w:eastAsiaTheme="minorEastAsia"/>
          <w:sz w:val="24"/>
        </w:rPr>
      </w:pPr>
      <w:r>
        <w:rPr>
          <w:rFonts w:hint="eastAsia" w:asciiTheme="minorEastAsia" w:hAnsiTheme="minorEastAsia" w:eastAsiaTheme="minorEastAsia"/>
          <w:sz w:val="24"/>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40"/>
        <w:spacing w:line="480" w:lineRule="exact"/>
        <w:rPr>
          <w:rFonts w:asciiTheme="minorEastAsia" w:hAnsiTheme="minorEastAsia" w:eastAsiaTheme="minorEastAsia"/>
          <w:sz w:val="24"/>
        </w:rPr>
      </w:pPr>
      <w:r>
        <w:rPr>
          <w:rFonts w:asciiTheme="minorEastAsia" w:hAnsiTheme="minorEastAsia" w:eastAsiaTheme="minorEastAsia"/>
          <w:sz w:val="24"/>
        </w:rPr>
        <w:t xml:space="preserve">    </w:t>
      </w:r>
      <w:r>
        <w:rPr>
          <w:rFonts w:hint="eastAsia" w:asciiTheme="minorEastAsia" w:hAnsiTheme="minorEastAsia" w:eastAsiaTheme="minorEastAsia"/>
          <w:sz w:val="24"/>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七、中小企业相关政策：</w:t>
      </w:r>
      <w:r/>
    </w:p>
    <w:p>
      <w:pPr>
        <w:ind w:firstLine="480"/>
        <w:jc w:val="left"/>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rPr>
        <w:t xml:space="preserve">但与大企业的负责人为同一人，或者与大企业存在直接控股、管理关系的除外。</w:t>
      </w:r>
      <w:r>
        <w:rPr>
          <w:rFonts w:hint="eastAsia" w:ascii="宋体" w:hAnsi="宋体" w:eastAsia="宋体" w:cs="宋体"/>
          <w:sz w:val="24"/>
        </w:rPr>
        <w:t xml:space="preserve">符合中小企业划分标准的个体工商户，在政府采购活动中视同中小企业.</w:t>
      </w:r>
      <w:r/>
    </w:p>
    <w:p>
      <w:pPr>
        <w:ind w:firstLine="482"/>
        <w:spacing w:line="460" w:lineRule="atLeast"/>
        <w:rPr>
          <w:rFonts w:hint="eastAsia" w:ascii="宋体" w:hAnsi="宋体" w:eastAsia="宋体" w:cs="宋体"/>
          <w:sz w:val="24"/>
        </w:rPr>
      </w:pPr>
      <w:r>
        <w:rPr>
          <w:rFonts w:hint="eastAsia" w:ascii="宋体" w:hAnsi="宋体" w:eastAsia="宋体" w:cs="宋体"/>
          <w:b/>
          <w:color w:val="000000"/>
          <w:sz w:val="24"/>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spacing w:line="460" w:lineRule="atLeast"/>
        <w:rPr>
          <w:rFonts w:hint="eastAsia" w:ascii="宋体" w:hAnsi="宋体" w:eastAsia="宋体" w:cs="宋体"/>
          <w:sz w:val="24"/>
        </w:rPr>
      </w:pPr>
      <w:r>
        <w:rPr>
          <w:rFonts w:hint="eastAsia" w:ascii="宋体" w:hAnsi="宋体" w:eastAsia="宋体" w:cs="宋体"/>
          <w:b/>
          <w:color w:val="000000"/>
          <w:sz w:val="24"/>
        </w:rPr>
        <w:t xml:space="preserve">专门面向中小企业采购的项目，不再执行价格评审优惠的扶持政策。</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rPr>
          <w:rFonts w:hAnsi="宋体" w:cs="宋体"/>
          <w:sz w:val="24"/>
        </w:rPr>
      </w:pPr>
      <w:r>
        <w:rPr>
          <w:rFonts w:hint="eastAsia" w:ascii="宋体" w:hAnsi="宋体" w:cs="宋体"/>
          <w:b/>
          <w:sz w:val="24"/>
        </w:rPr>
        <w:t xml:space="preserve">评分标准</w:t>
      </w:r>
      <w:r/>
    </w:p>
    <w:p>
      <w:pPr>
        <w:ind w:firstLine="482"/>
        <w:keepLines w:val="0"/>
        <w:keepNext w:val="0"/>
        <w:pageBreakBefore w:val="0"/>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一、价格分</w:t>
      </w:r>
      <w:r>
        <w:rPr>
          <w:rFonts w:hint="eastAsia" w:ascii="宋体" w:hAnsi="宋体" w:eastAsia="宋体" w:cs="宋体"/>
          <w:b/>
          <w:sz w:val="24"/>
          <w:szCs w:val="24"/>
          <w:lang w:val="en-US" w:eastAsia="zh-CN"/>
        </w:rPr>
        <w:t xml:space="preserve">35</w:t>
      </w:r>
      <w:r>
        <w:rPr>
          <w:rFonts w:hint="eastAsia" w:ascii="宋体" w:hAnsi="宋体" w:eastAsia="宋体" w:cs="宋体"/>
          <w:b/>
          <w:sz w:val="24"/>
          <w:szCs w:val="24"/>
        </w:rPr>
        <w:t xml:space="preserve">分</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第二步：在所有有效投标报价中满足招标文件要求，且投标价格最低的投标报价为评标基准价，其价格分为</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分，其他投标人的价格分按照下列公式计算（计算结果四舍五入保留两位小数）。</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％×100</w:t>
      </w:r>
      <w:r/>
    </w:p>
    <w:p>
      <w:pPr>
        <w:ind w:firstLine="48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sz w:val="24"/>
          <w:szCs w:val="24"/>
        </w:rPr>
        <w:t xml:space="preserve">二、</w:t>
      </w:r>
      <w:r>
        <w:rPr>
          <w:rFonts w:hint="eastAsia" w:ascii="宋体" w:hAnsi="宋体" w:eastAsia="宋体" w:cs="宋体"/>
          <w:b/>
          <w:sz w:val="24"/>
          <w:szCs w:val="24"/>
          <w:lang w:val="en-US" w:eastAsia="zh-CN"/>
        </w:rPr>
        <w:t xml:space="preserve">详细评分</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65</w:t>
      </w:r>
      <w:r>
        <w:rPr>
          <w:rFonts w:hint="eastAsia" w:ascii="宋体" w:hAnsi="宋体" w:eastAsia="宋体" w:cs="宋体"/>
          <w:b/>
          <w:sz w:val="24"/>
          <w:szCs w:val="24"/>
        </w:rPr>
        <w:t xml:space="preserve">分</w:t>
      </w:r>
      <w:r/>
    </w:p>
    <w:p>
      <w:pPr>
        <w:ind w:firstLine="48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（一）检测报告（</w:t>
      </w: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分）</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lang w:eastAsia="zh-CN"/>
        </w:rPr>
        <w:t xml:space="preserve">或所投产品厂家</w:t>
      </w:r>
      <w:r>
        <w:rPr>
          <w:rFonts w:hint="eastAsia" w:ascii="宋体" w:hAnsi="宋体" w:eastAsia="宋体" w:cs="宋体"/>
          <w:sz w:val="24"/>
          <w:szCs w:val="24"/>
        </w:rPr>
        <w:t xml:space="preserve">提供具有CMA标识的原材料检测报告，包括：</w:t>
      </w:r>
      <w:r/>
    </w:p>
    <w:p>
      <w:pPr>
        <w:numPr>
          <w:ilvl w:val="0"/>
          <w:numId w:val="0"/>
        </w:numPr>
        <w:ind w:firstLine="480"/>
        <w:jc w:val="left"/>
        <w:keepLines w:val="0"/>
        <w:keepNext w:val="0"/>
        <w:pageBreakBefore w:val="0"/>
        <w:spacing w:line="500" w:lineRule="exact"/>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 xml:space="preserve">1、</w:t>
      </w:r>
      <w:r>
        <w:rPr>
          <w:rFonts w:hint="eastAsia" w:ascii="宋体" w:hAnsi="宋体" w:eastAsia="宋体" w:cs="宋体"/>
          <w:b/>
          <w:bCs/>
          <w:sz w:val="24"/>
          <w:szCs w:val="24"/>
          <w:lang w:val="en-US" w:eastAsia="zh-CN"/>
        </w:rPr>
        <w:t xml:space="preserve">原材料检测报告（13分）</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（1）阻燃桦木芯多层板,须包含【气味浓度≤200ou/m³；苯酚释放量未检出；静曲强度（顺纹）≥22MPa；醛酮类化合物(羰基类化合物)24h≤1mg/m³；总半挥发性有机化合物释放量未检出】，检测标准（依据）包含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GB/T42898-2023、GB/T43353-2023、GB/T 31762-2015且符合要求。</w:t>
      </w:r>
      <w:r/>
    </w:p>
    <w:p>
      <w:pPr>
        <w:numPr>
          <w:ilvl w:val="0"/>
          <w:numId w:val="0"/>
        </w:numPr>
        <w:ind w:firstLine="480"/>
        <w:keepLines w:val="0"/>
        <w:keepNext w:val="0"/>
        <w:pageBreakBefore w:val="0"/>
        <w:spacing w:after="0"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（2）阻燃</w:t>
      </w:r>
      <w:r>
        <w:rPr>
          <w:rFonts w:hint="eastAsia" w:ascii="宋体" w:hAnsi="宋体" w:eastAsia="宋体" w:cs="宋体"/>
          <w:sz w:val="24"/>
          <w:szCs w:val="24"/>
          <w:highlight w:val="none"/>
          <w:lang w:val="en-US" w:eastAsia="zh-CN"/>
        </w:rPr>
        <w:t xml:space="preserve">橡胶木直拼板</w:t>
      </w:r>
      <w:r>
        <w:rPr>
          <w:rFonts w:hint="eastAsia" w:ascii="宋体" w:hAnsi="宋体" w:eastAsia="宋体" w:cs="宋体"/>
          <w:sz w:val="24"/>
          <w:szCs w:val="24"/>
          <w:highlight w:val="none"/>
          <w:lang w:eastAsia="zh-CN"/>
        </w:rPr>
        <w:t xml:space="preserve">，须包含【氨释放量</w:t>
      </w:r>
      <w:r>
        <w:rPr>
          <w:rFonts w:hint="eastAsia" w:ascii="宋体" w:hAnsi="宋体" w:eastAsia="宋体" w:cs="宋体"/>
          <w:sz w:val="24"/>
          <w:szCs w:val="24"/>
          <w:highlight w:val="none"/>
          <w:lang w:val="en-US" w:eastAsia="zh-CN"/>
        </w:rPr>
        <w:t xml:space="preserve">未检出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抗菌性能(酿脓链球菌)≥99%;气干密度≥0.65g/cm³；抗弯强度≥70MPa；重金属元素含量（铅、镉、铬、汞）未检出；燃烧性能等级B1；乙醛未检出；丙烯醛未检出；甲苯未检出；总挥发性有机化合物未检出；可接触的实木部件中五氯苯酚未检出；有机磷阻燃剂未检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检测标准（依据）包含</w:t>
      </w:r>
      <w:r>
        <w:rPr>
          <w:rFonts w:hint="eastAsia" w:ascii="宋体" w:hAnsi="宋体" w:eastAsia="宋体" w:cs="宋体"/>
          <w:sz w:val="24"/>
          <w:szCs w:val="24"/>
          <w:highlight w:val="none"/>
          <w:lang w:eastAsia="zh-CN"/>
        </w:rPr>
        <w:t xml:space="preserve">：GB/T36022-2018、GB/T35607-2024、GB/T42996.1-2023且符合要求。</w:t>
      </w:r>
      <w:r/>
    </w:p>
    <w:p>
      <w:pPr>
        <w:numPr>
          <w:ilvl w:val="0"/>
          <w:numId w:val="0"/>
        </w:numPr>
        <w:ind w:left="0" w:firstLine="480"/>
        <w:keepLines w:val="0"/>
        <w:keepNext w:val="0"/>
        <w:pageBreakBefore w:val="0"/>
        <w:spacing w:after="0"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rPr>
        <w:t xml:space="preserve">铝合金支撑脚</w:t>
      </w:r>
      <w:r>
        <w:rPr>
          <w:rFonts w:hint="eastAsia" w:ascii="宋体" w:hAnsi="宋体" w:eastAsia="宋体" w:cs="宋体"/>
          <w:sz w:val="24"/>
          <w:szCs w:val="24"/>
          <w:highlight w:val="none"/>
          <w:lang w:eastAsia="zh-CN"/>
        </w:rPr>
        <w:t xml:space="preserve">，须包含【</w:t>
      </w:r>
      <w:r>
        <w:rPr>
          <w:rFonts w:hint="eastAsia" w:ascii="宋体" w:hAnsi="宋体" w:eastAsia="宋体" w:cs="宋体"/>
          <w:sz w:val="24"/>
          <w:szCs w:val="24"/>
          <w:highlight w:val="none"/>
          <w:lang w:val="en-US" w:eastAsia="zh-CN"/>
        </w:rPr>
        <w:t xml:space="preserve">涂层耐湿（30个循环，240h）无气泡、无剥落、无粉化、无生锈；铜加速乙酸盐雾试验(CASS试验)耐腐蚀等级达到10级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断后伸长率≥8%；抗拉强度≥160N/m㎡；抑菌率（藤黄微球菌）抑菌率≥99%；耐霉菌性等级（出芽短梗霉）耐霉菌性等级达到0级</w:t>
      </w:r>
      <w:r>
        <w:rPr>
          <w:rFonts w:hint="eastAsia" w:ascii="宋体" w:hAnsi="宋体" w:eastAsia="宋体" w:cs="宋体"/>
          <w:sz w:val="24"/>
          <w:szCs w:val="24"/>
          <w:highlight w:val="none"/>
          <w:lang w:eastAsia="zh-CN"/>
        </w:rPr>
        <w:t xml:space="preserve">；耐液体性（氢氧化钠）24h综合</w:t>
      </w:r>
      <w:r>
        <w:rPr>
          <w:rFonts w:hint="eastAsia" w:ascii="宋体" w:hAnsi="宋体" w:eastAsia="宋体" w:cs="宋体"/>
          <w:sz w:val="24"/>
          <w:szCs w:val="24"/>
          <w:highlight w:val="none"/>
          <w:lang w:val="en-US" w:eastAsia="zh-CN"/>
        </w:rPr>
        <w:t xml:space="preserve">评定等级</w:t>
      </w:r>
      <w:r>
        <w:rPr>
          <w:rFonts w:hint="eastAsia" w:ascii="宋体" w:hAnsi="宋体" w:eastAsia="宋体" w:cs="宋体"/>
          <w:sz w:val="24"/>
          <w:szCs w:val="24"/>
          <w:highlight w:val="none"/>
          <w:lang w:eastAsia="zh-CN"/>
        </w:rPr>
        <w:t xml:space="preserve">0级；人工气候老化120h综合评级0级；可迁移元素（</w:t>
      </w:r>
      <w:r>
        <w:rPr>
          <w:rFonts w:hint="eastAsia" w:ascii="宋体" w:hAnsi="宋体" w:eastAsia="宋体" w:cs="宋体"/>
          <w:sz w:val="24"/>
          <w:szCs w:val="24"/>
          <w:highlight w:val="none"/>
          <w:lang w:val="en-US" w:eastAsia="zh-CN"/>
        </w:rPr>
        <w:t xml:space="preserve">铅、镉、铬、汞、锑、钡、硒、砷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未检出</w:t>
      </w:r>
      <w:r>
        <w:rPr>
          <w:rFonts w:hint="eastAsia" w:ascii="宋体" w:hAnsi="宋体" w:eastAsia="宋体" w:cs="宋体"/>
          <w:sz w:val="24"/>
          <w:szCs w:val="24"/>
          <w:highlight w:val="none"/>
          <w:lang w:eastAsia="zh-CN"/>
        </w:rPr>
        <w:t xml:space="preserve">；化学成分（</w:t>
      </w:r>
      <w:r>
        <w:rPr>
          <w:rFonts w:hint="eastAsia" w:ascii="宋体" w:hAnsi="宋体" w:eastAsia="宋体" w:cs="宋体"/>
          <w:sz w:val="24"/>
          <w:szCs w:val="24"/>
          <w:highlight w:val="none"/>
          <w:lang w:val="en-US" w:eastAsia="zh-CN"/>
        </w:rPr>
        <w:t xml:space="preserve">Si、Fe、Cu、Mn、Cr</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检测标准（依据）包含</w:t>
      </w:r>
      <w:r>
        <w:rPr>
          <w:rFonts w:hint="eastAsia" w:ascii="宋体" w:hAnsi="宋体" w:eastAsia="宋体" w:cs="宋体"/>
          <w:sz w:val="24"/>
          <w:szCs w:val="24"/>
          <w:highlight w:val="none"/>
          <w:lang w:eastAsia="zh-CN"/>
        </w:rPr>
        <w:t xml:space="preserve">：QB/T38</w:t>
      </w: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lang w:eastAsia="zh-CN"/>
        </w:rPr>
        <w:t xml:space="preserve">-1999、GB/T10125-2021、GB/T1741-2020且符合要求。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高密度定型阻燃海绵,须包含【色泽颜色均匀；气孔直径-对穿孔≤6mm；气孔直径-气孔≤10mm；污染不应有明显污染；气味无刺激性气味；回弹率-等级(245N)；拉伸强度-等级(245N)；干热老化后拉伸强度-等级(245N)；湿热老化后拉伸强度-等级(245N)；密度≥18kg/m³；阻燃1级】，检测标准（依据）包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GB/T10802-2006、QB/T2280-2016且符合要求。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防火阻燃麻绒布料,须包含【甲醛含量≤20；PH值；耐水（变色、沾色）≥3-4；耐酸汗渍（变色、沾色）≥3-4；耐碱汗渍（变色、沾色）≥3-4；耐干摩擦≥4；耐唾液（变色、沾色）≥4；异味（无）符合；可分解致癌芳香胺染料未检出；可萃取重金属铅、镉、铬、六价铬未检出；模拟火柴火焰抗引燃性试验符合】,检测标准（依据）包含：GB/T18885-2020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阻燃304不锈钢,须包含【电镀层表面无剥落、返锈、毛刺；金属化学成分分析（碳、硅、锰、磷）；金属拉伸性能试验（抗拉强度、断后伸长率、下屈服强度）；维氏硬度≤210；阻燃A1；乙酸盐雾试验（18h），保护评价10级；铜加速乙酸盐雾试验（18h），保护评价10级】，检测标准（依据）包含：GB/T3325-2017、GB/T6461-2002、GB/T3280-2015且符合要求。</w:t>
      </w:r>
      <w:r/>
    </w:p>
    <w:p>
      <w:pPr>
        <w:numPr>
          <w:ilvl w:val="0"/>
          <w:numId w:val="0"/>
        </w:numPr>
        <w:ind w:firstLine="480"/>
        <w:keepLines w:val="0"/>
        <w:keepNext w:val="0"/>
        <w:pageBreakBefore w:val="0"/>
        <w:spacing w:after="0"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（7）阻燃双饰面刨花板，</w:t>
      </w:r>
      <w:r>
        <w:rPr>
          <w:rFonts w:hint="eastAsia" w:ascii="宋体" w:hAnsi="宋体" w:eastAsia="宋体" w:cs="宋体"/>
          <w:sz w:val="24"/>
          <w:szCs w:val="24"/>
          <w:highlight w:val="none"/>
          <w:lang w:eastAsia="zh-CN"/>
        </w:rPr>
        <w:t xml:space="preserve">须包含【</w:t>
      </w:r>
      <w:r>
        <w:rPr>
          <w:rFonts w:hint="eastAsia" w:ascii="宋体" w:hAnsi="宋体" w:eastAsia="宋体" w:cs="宋体"/>
          <w:b w:val="0"/>
          <w:bCs w:val="0"/>
          <w:sz w:val="24"/>
          <w:szCs w:val="24"/>
          <w:highlight w:val="none"/>
          <w:lang w:eastAsia="zh-CN"/>
        </w:rPr>
        <w:t xml:space="preserve">含水率；表面耐冷热循环；甲醛释放量</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；总挥发性有机化合（TVOC）</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、苯、甲苯、二甲苯</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；气味</w:t>
      </w:r>
      <w:r>
        <w:rPr>
          <w:rFonts w:hint="eastAsia" w:ascii="宋体" w:hAnsi="宋体" w:eastAsia="宋体" w:cs="宋体"/>
          <w:b w:val="0"/>
          <w:bCs w:val="0"/>
          <w:sz w:val="24"/>
          <w:szCs w:val="24"/>
          <w:highlight w:val="none"/>
          <w:lang w:val="en-US" w:eastAsia="zh-CN"/>
        </w:rPr>
        <w:t xml:space="preserve">等级0级</w:t>
      </w:r>
      <w:r>
        <w:rPr>
          <w:rFonts w:hint="eastAsia" w:ascii="宋体" w:hAnsi="宋体" w:eastAsia="宋体" w:cs="宋体"/>
          <w:b w:val="0"/>
          <w:bCs w:val="0"/>
          <w:sz w:val="24"/>
          <w:szCs w:val="24"/>
          <w:highlight w:val="none"/>
          <w:lang w:eastAsia="zh-CN"/>
        </w:rPr>
        <w:t xml:space="preserve">；醛酮类化合物；氨释放量</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；燃烧性能</w:t>
      </w:r>
      <w:r>
        <w:rPr>
          <w:rFonts w:hint="eastAsia" w:ascii="宋体" w:hAnsi="宋体" w:eastAsia="宋体" w:cs="宋体"/>
          <w:b w:val="0"/>
          <w:bCs w:val="0"/>
          <w:sz w:val="24"/>
          <w:szCs w:val="24"/>
          <w:highlight w:val="none"/>
          <w:lang w:val="en-US" w:eastAsia="zh-CN"/>
        </w:rPr>
        <w:t xml:space="preserve">B1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检测标准（依据）包含</w:t>
      </w:r>
      <w:r>
        <w:rPr>
          <w:rFonts w:hint="eastAsia" w:ascii="宋体" w:hAnsi="宋体" w:eastAsia="宋体" w:cs="宋体"/>
          <w:sz w:val="24"/>
          <w:szCs w:val="24"/>
          <w:highlight w:val="none"/>
          <w:lang w:eastAsia="zh-CN"/>
        </w:rPr>
        <w:t xml:space="preserve">：GB/T15102-2017、GB/T39600-2024、GB/T35601-2024且符合要求。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（8）阻燃尼龙塑料,须包含【检测项目至少包含：耐老化性≥400h；冲击强度；维卡软化温度；负荷变形温度；脆化温度；熔体质量流动速率】，检测标准（依据）包含</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：GB/T32487-2016、GB/T1633-2000、GB/T1634.1-2019</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阻燃实芯理化板,须包含【氨释放量未检出；抗菌性能（大肠埃希氏菌）抑菌率≥99%；防霉菌等级（黑曲霉）0级；气味分级≥1级；甲醛释放量≤1.5mg/L；耐高温性能无裂纹；表面耐水蒸气性能≥4级；表面耐龟裂性能≥4级；表面耐划痕性能≥4级；磨耗值≤50；苯、甲苯、二甲苯未检出；重金属元素含量（铅、镉、铬、汞）未检出；总挥发性有机化合物未检出；阻燃1级】，检测标准（依据）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GB/T36022-2018、GB/T40493-2021、GB/T17657-2022且符合要求。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（10）冷轧钢板,须包含【抗拉强度≥520；屈服强度≥205；断后伸长率≥40；二氧化硫腐蚀试验无超过50%面积腐蚀；硫化氢腐蚀试验经 20min硫化氢试验，试样表面变色面积约为 90%；耐腐蚀试验10级；耐人工气候老化性（100h）；附着力≥5MPa；耐沾污性优于3级】，依据：检测标准（依据）包含：GB/T3280-2015、GB/T9789-2008、QB/T3831-1999、GB/T6461-2002、GB/T1865-2009、GB/T1766-2008且符合要求。</w:t>
      </w:r>
      <w:r/>
    </w:p>
    <w:p>
      <w:p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阻燃PP新料保护壳,须包含【耐老化性外观颜色变色评级≥3级；冲击强度≥10J/㎡；塑料件外观合格；耐冷热循环应无裂纹、鼓泡、变色、起皱；硬度≥HD63；邻苯二甲酸酯（DBP、BBP、DEHP、DNOP、DINP、DIDP）≤0.1%；苯并芘≤1.0mg/kg；16种多环芳烃（PAH）总量≤10mg/kg；可迁移元素（锑、砷、钡、镉、铬、铅、汞、硒）；阻燃1级;抗菌性能（大肠埃希氏菌），抑菌率≥99%】，检测标准（依据）包含</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GB/T32487-2016、GB/T31402-2015且符合要求。</w:t>
      </w:r>
      <w:r/>
    </w:p>
    <w:p>
      <w:pPr>
        <w:numPr>
          <w:ilvl w:val="0"/>
          <w:numId w:val="0"/>
        </w:numPr>
        <w:ind w:firstLine="480"/>
        <w:keepLines w:val="0"/>
        <w:keepNext w:val="0"/>
        <w:pageBreakBefore w:val="0"/>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（12）阻燃超纤皮，</w:t>
      </w:r>
      <w:r>
        <w:rPr>
          <w:rFonts w:hint="eastAsia" w:ascii="宋体" w:hAnsi="宋体" w:eastAsia="宋体" w:cs="宋体"/>
          <w:sz w:val="24"/>
          <w:szCs w:val="24"/>
          <w:highlight w:val="none"/>
          <w:lang w:eastAsia="zh-CN"/>
        </w:rPr>
        <w:t xml:space="preserve">须包含【</w:t>
      </w:r>
      <w:r>
        <w:rPr>
          <w:rFonts w:hint="eastAsia" w:ascii="宋体" w:hAnsi="宋体" w:eastAsia="宋体" w:cs="宋体"/>
          <w:b w:val="0"/>
          <w:bCs w:val="0"/>
          <w:sz w:val="24"/>
          <w:szCs w:val="24"/>
          <w:highlight w:val="none"/>
          <w:lang w:eastAsia="zh-CN"/>
        </w:rPr>
        <w:t xml:space="preserve">皮革中五氯苯酚</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、游离甲醛</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、挥发性有机物（VOC）</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、耐折牢度5万次无裂纹、重金属</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、多环芳烃</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、二氨基甲苯</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、富马酸二甲酯含量</w:t>
      </w:r>
      <w:r>
        <w:rPr>
          <w:rFonts w:hint="eastAsia" w:ascii="宋体" w:hAnsi="宋体" w:eastAsia="宋体" w:cs="宋体"/>
          <w:b w:val="0"/>
          <w:bCs w:val="0"/>
          <w:sz w:val="24"/>
          <w:szCs w:val="24"/>
          <w:highlight w:val="none"/>
          <w:lang w:val="en-US" w:eastAsia="zh-CN"/>
        </w:rPr>
        <w:t xml:space="preserve">未检出</w:t>
      </w:r>
      <w:r>
        <w:rPr>
          <w:rFonts w:hint="eastAsia" w:ascii="宋体" w:hAnsi="宋体" w:eastAsia="宋体" w:cs="宋体"/>
          <w:b w:val="0"/>
          <w:bCs w:val="0"/>
          <w:sz w:val="24"/>
          <w:szCs w:val="24"/>
          <w:highlight w:val="none"/>
          <w:lang w:eastAsia="zh-CN"/>
        </w:rPr>
        <w:t xml:space="preserve">、二氨基二苯甲烷</w:t>
      </w:r>
      <w:r>
        <w:rPr>
          <w:rFonts w:hint="eastAsia" w:ascii="宋体" w:hAnsi="宋体" w:eastAsia="宋体" w:cs="宋体"/>
          <w:b w:val="0"/>
          <w:bCs w:val="0"/>
          <w:sz w:val="24"/>
          <w:szCs w:val="24"/>
          <w:highlight w:val="none"/>
          <w:lang w:val="en-US" w:eastAsia="zh-CN"/>
        </w:rPr>
        <w:t xml:space="preserve">未检出、防霉剂、燃烧性能B1、六价铬含量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检测标准（依据）包含</w:t>
      </w:r>
      <w:r>
        <w:rPr>
          <w:rFonts w:hint="eastAsia" w:ascii="宋体" w:hAnsi="宋体" w:eastAsia="宋体" w:cs="宋体"/>
          <w:sz w:val="24"/>
          <w:szCs w:val="24"/>
          <w:highlight w:val="none"/>
          <w:lang w:eastAsia="zh-CN"/>
        </w:rPr>
        <w:t xml:space="preserve">：GB/T35607-2024、GB/T16799-2018、GB/T40971-2021且符合要求。</w:t>
      </w:r>
      <w:r/>
    </w:p>
    <w:p>
      <w:pPr>
        <w:ind w:firstLine="480"/>
        <w:keepLines w:val="0"/>
        <w:keepNext w:val="0"/>
        <w:pageBreakBefore w:val="0"/>
        <w:spacing w:line="500" w:lineRule="exact"/>
        <w:rPr>
          <w:rFonts w:hint="eastAsia" w:ascii="宋体" w:hAnsi="宋体" w:eastAsia="宋体" w:cs="宋体"/>
          <w:sz w:val="24"/>
          <w:szCs w:val="24"/>
          <w:lang w:val="zh-CN"/>
        </w:rPr>
      </w:pPr>
      <w:r>
        <w:rPr>
          <w:rFonts w:hint="eastAsia" w:ascii="宋体" w:hAnsi="宋体" w:eastAsia="宋体" w:cs="宋体"/>
          <w:sz w:val="24"/>
          <w:szCs w:val="24"/>
          <w:highlight w:val="none"/>
          <w:lang w:val="en-US" w:eastAsia="zh-CN"/>
        </w:rPr>
        <w:t xml:space="preserve">（13）阻燃实木多层板,须包含【抗菌性能（金黄色葡萄球菌、大肠杆菌、肺炎克雷伯氏菌、白色念珠菌、铜绿假单胞菌）抑菌率≥99%；甲醛释放量≤0.124mg/m³；含水率（5-16）%；静曲强度-顺纹≥22Mpa；表面胶合强度≥0.6MPa；防霉性能（黑曲霉、土曲霉；宛氏拟青霉；蜡叶芽枝霉等级0级；阻燃2级】，检测标准（依据）包含：GB/T9846-2015、GB/T18580-2017、GB/T17657-2013且符合要求。</w:t>
      </w:r>
      <w:r/>
    </w:p>
    <w:p>
      <w:pPr>
        <w:ind w:firstLine="480"/>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sz w:val="24"/>
          <w:szCs w:val="24"/>
          <w:lang w:val="zh-CN"/>
        </w:rPr>
        <w:t xml:space="preserve">注：1.以上检测报告完全满足技术参数指标的，有1项得1分，缺项不得分。2.须提供检测报告扫描件。项目验收时采购方有权要求中标供应商提供检测报告原件核实真伪，如有虚假，该供应商承担由此带来的所有</w:t>
      </w:r>
      <w:r>
        <w:rPr>
          <w:rFonts w:hint="eastAsia" w:ascii="宋体" w:hAnsi="宋体" w:eastAsia="宋体" w:cs="宋体"/>
          <w:sz w:val="24"/>
          <w:szCs w:val="24"/>
          <w:lang w:val="en-US" w:eastAsia="zh-CN"/>
        </w:rPr>
        <w:t xml:space="preserve">后果</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 </w:t>
      </w:r>
      <w:r/>
    </w:p>
    <w:p>
      <w:pPr>
        <w:ind w:firstLine="482"/>
        <w:keepLines w:val="0"/>
        <w:keepNext w:val="0"/>
        <w:pageBreakBefore w:val="0"/>
        <w:spacing w:line="500" w:lineRule="exact"/>
        <w:rPr>
          <w:rFonts w:hint="eastAsia" w:ascii="宋体" w:hAnsi="宋体" w:eastAsia="宋体" w:cs="宋体"/>
          <w:b/>
          <w:bCs/>
          <w:color w:val="000000"/>
          <w:sz w:val="24"/>
          <w:szCs w:val="24"/>
        </w:rPr>
      </w:pPr>
      <w:r>
        <w:rPr>
          <w:rFonts w:hint="eastAsia" w:ascii="宋体" w:hAnsi="宋体" w:eastAsia="宋体" w:cs="宋体"/>
          <w:b/>
          <w:bCs/>
          <w:sz w:val="24"/>
          <w:szCs w:val="24"/>
        </w:rPr>
        <w:t xml:space="preserve">（二）产品部件结构设计比较</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35</w:t>
      </w:r>
      <w:r>
        <w:rPr>
          <w:rFonts w:hint="eastAsia" w:ascii="宋体" w:hAnsi="宋体" w:eastAsia="宋体" w:cs="宋体"/>
          <w:b/>
          <w:bCs/>
          <w:color w:val="000000"/>
          <w:sz w:val="24"/>
          <w:szCs w:val="24"/>
        </w:rPr>
        <w:t xml:space="preserve">分）</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投标人根据产品清单提供以下产品：（1）序号20：办公桌（含侧柜）、（2）序号22：升降课桌、升降课椅、（3）序号25：批改桌、（4）序号39：移动条桌、（5）序号40：礼堂椅、（6）序号70：多功能储物柜、（7）序号90：翻转电脑桌；</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针对以上每个产品提供</w:t>
      </w:r>
      <w:r>
        <w:rPr>
          <w:rFonts w:hint="eastAsia" w:ascii="宋体" w:hAnsi="宋体" w:eastAsia="宋体" w:cs="宋体"/>
          <w:sz w:val="24"/>
          <w:szCs w:val="24"/>
          <w:lang w:val="zh-CN"/>
        </w:rPr>
        <w:t xml:space="preserve">①</w:t>
      </w:r>
      <w:r>
        <w:rPr>
          <w:rFonts w:hint="eastAsia" w:ascii="宋体" w:hAnsi="宋体" w:eastAsia="宋体" w:cs="宋体"/>
          <w:sz w:val="24"/>
          <w:szCs w:val="24"/>
        </w:rPr>
        <w:t xml:space="preserve">三视图（三视图各部位尺寸标注完整，款式符合采购需求）；</w:t>
      </w:r>
      <w:r>
        <w:rPr>
          <w:rFonts w:hint="eastAsia" w:ascii="宋体" w:hAnsi="宋体" w:eastAsia="宋体" w:cs="宋体"/>
          <w:sz w:val="24"/>
          <w:szCs w:val="24"/>
          <w:lang w:val="zh-CN"/>
        </w:rPr>
        <w:t xml:space="preserve">②</w:t>
      </w:r>
      <w:r>
        <w:rPr>
          <w:rFonts w:hint="eastAsia" w:ascii="宋体" w:hAnsi="宋体" w:eastAsia="宋体" w:cs="宋体"/>
          <w:sz w:val="24"/>
          <w:szCs w:val="24"/>
        </w:rPr>
        <w:t xml:space="preserve">部件结构图(显示内部结构、五金配件及零部件)；</w:t>
      </w:r>
      <w:r>
        <w:rPr>
          <w:rFonts w:hint="eastAsia" w:ascii="宋体" w:hAnsi="宋体" w:eastAsia="宋体" w:cs="宋体"/>
          <w:bCs/>
          <w:sz w:val="24"/>
          <w:szCs w:val="24"/>
        </w:rPr>
        <w:t xml:space="preserve">③</w:t>
      </w:r>
      <w:r>
        <w:rPr>
          <w:rFonts w:hint="eastAsia" w:ascii="宋体" w:hAnsi="宋体" w:eastAsia="宋体" w:cs="宋体"/>
          <w:sz w:val="24"/>
          <w:szCs w:val="24"/>
        </w:rPr>
        <w:t xml:space="preserve">用料明细(清单)完整；</w:t>
      </w:r>
      <w:r>
        <w:rPr>
          <w:rFonts w:hint="eastAsia" w:ascii="宋体" w:hAnsi="宋体" w:eastAsia="宋体" w:cs="宋体"/>
          <w:bCs/>
          <w:sz w:val="24"/>
          <w:szCs w:val="24"/>
        </w:rPr>
        <w:t xml:space="preserve">④</w:t>
      </w:r>
      <w:r>
        <w:rPr>
          <w:rFonts w:hint="eastAsia" w:ascii="宋体" w:hAnsi="宋体" w:eastAsia="宋体" w:cs="宋体"/>
          <w:sz w:val="24"/>
          <w:szCs w:val="24"/>
        </w:rPr>
        <w:t xml:space="preserve">工艺技术说明符合采购需求。</w:t>
      </w:r>
      <w:r/>
    </w:p>
    <w:p>
      <w:pPr>
        <w:ind w:firstLine="480"/>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sz w:val="24"/>
          <w:szCs w:val="24"/>
        </w:rPr>
        <w:t xml:space="preserve">每一产品针对本项目符合招标需求的，得5分，每缺少一项内容，或内容不完整，或内容非专门针对本项目，或内容不能满足本项目实际需求得，每一</w:t>
      </w:r>
      <w:r>
        <w:rPr>
          <w:rFonts w:hint="eastAsia" w:ascii="宋体" w:hAnsi="宋体" w:eastAsia="宋体" w:cs="宋体"/>
          <w:sz w:val="24"/>
          <w:szCs w:val="24"/>
          <w:lang w:val="en-US" w:eastAsia="zh-CN"/>
        </w:rPr>
        <w:t xml:space="preserve">项内容</w:t>
      </w:r>
      <w:r>
        <w:rPr>
          <w:rFonts w:hint="eastAsia" w:ascii="宋体" w:hAnsi="宋体" w:eastAsia="宋体" w:cs="宋体"/>
          <w:sz w:val="24"/>
          <w:szCs w:val="24"/>
        </w:rPr>
        <w:t xml:space="preserve">扣1.25分。未提供相关内容不得分。</w:t>
      </w:r>
      <w:r/>
    </w:p>
    <w:p>
      <w:pPr>
        <w:ind w:firstLine="480"/>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sz w:val="24"/>
          <w:szCs w:val="24"/>
        </w:rPr>
        <w:t xml:space="preserve">本项共</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rPr>
        <w:t xml:space="preserve">个产品，每个产品满分5分，本项最高</w:t>
      </w: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分。</w:t>
      </w:r>
      <w:r/>
    </w:p>
    <w:p>
      <w:pPr>
        <w:numPr>
          <w:ilvl w:val="0"/>
          <w:numId w:val="29"/>
        </w:numPr>
        <w:ind w:firstLine="482"/>
        <w:keepLines w:val="0"/>
        <w:keepNext w:val="0"/>
        <w:pageBreakBefore w:val="0"/>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项目实施及售后服务方案（</w:t>
      </w:r>
      <w:r>
        <w:rPr>
          <w:rFonts w:hint="eastAsia" w:ascii="宋体" w:hAnsi="宋体" w:eastAsia="宋体" w:cs="宋体"/>
          <w:b/>
          <w:bCs/>
          <w:sz w:val="24"/>
          <w:szCs w:val="24"/>
          <w:lang w:val="en-US" w:eastAsia="zh-CN"/>
        </w:rPr>
        <w:t xml:space="preserve">12</w:t>
      </w:r>
      <w:r>
        <w:rPr>
          <w:rFonts w:hint="eastAsia" w:ascii="宋体" w:hAnsi="宋体" w:eastAsia="宋体" w:cs="宋体"/>
          <w:b/>
          <w:bCs/>
          <w:sz w:val="24"/>
          <w:szCs w:val="24"/>
        </w:rPr>
        <w:t xml:space="preserve">分）</w:t>
      </w:r>
      <w:r/>
    </w:p>
    <w:p>
      <w:pPr>
        <w:ind w:firstLine="482"/>
        <w:jc w:val="left"/>
        <w:keepLines w:val="0"/>
        <w:keepNext w:val="0"/>
        <w:pageBreakBefore w:val="0"/>
        <w:spacing w:line="500" w:lineRule="exact"/>
        <w:widowControl/>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bidi="ar-SA"/>
        </w:rPr>
        <w:t xml:space="preserve">1.项目实施进度计划方案（3分）</w:t>
      </w:r>
      <w:r/>
    </w:p>
    <w:p>
      <w:pPr>
        <w:ind w:firstLine="480"/>
        <w:jc w:val="left"/>
        <w:keepLines w:val="0"/>
        <w:keepNext w:val="0"/>
        <w:pageBreakBefore w:val="0"/>
        <w:spacing w:line="500" w:lineRule="exact"/>
        <w:widowControl/>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bidi="ar-SA"/>
        </w:rPr>
        <w:t xml:space="preserve">根据第三部分：项目需求中（二）项目实施要求内容，投标人结合本项目实际情况，理解本项目的实际需求和特点，提供针对本项目的实施方案。方案</w:t>
      </w:r>
      <w:r>
        <w:rPr>
          <w:rFonts w:hint="eastAsia" w:ascii="宋体" w:hAnsi="宋体" w:eastAsia="宋体" w:cs="宋体"/>
          <w:bCs/>
          <w:sz w:val="24"/>
          <w:szCs w:val="24"/>
          <w:lang w:val="zh-CN" w:eastAsia="zh-CN" w:bidi="ar-SA"/>
        </w:rPr>
        <w:t xml:space="preserve">包含</w:t>
      </w:r>
      <w:r>
        <w:rPr>
          <w:rFonts w:hint="eastAsia" w:ascii="宋体" w:hAnsi="宋体" w:eastAsia="宋体" w:cs="宋体"/>
          <w:bCs/>
          <w:sz w:val="24"/>
          <w:szCs w:val="24"/>
          <w:lang w:val="en-US" w:eastAsia="zh-CN" w:bidi="ar-SA"/>
        </w:rPr>
        <w:t xml:space="preserve">①工期进度安排及保证措施；②重点难点分析；③劳动力安排计划等内容；</w:t>
      </w:r>
      <w:r/>
    </w:p>
    <w:p>
      <w:pPr>
        <w:ind w:firstLine="480"/>
        <w:keepLines w:val="0"/>
        <w:keepNext w:val="0"/>
        <w:pageBreakBefore w:val="0"/>
        <w:spacing w:line="500" w:lineRule="exact"/>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方案内容针对本项目且符合本项目实际需求的，得</w:t>
      </w:r>
      <w:r>
        <w:rPr>
          <w:rFonts w:hint="eastAsia" w:ascii="宋体" w:hAnsi="宋体" w:eastAsia="宋体" w:cs="宋体"/>
          <w:bCs/>
          <w:sz w:val="24"/>
          <w:szCs w:val="24"/>
          <w:lang w:val="en-US" w:eastAsia="zh-CN" w:bidi="ar-SA"/>
        </w:rPr>
        <w:t xml:space="preserve">3</w:t>
      </w:r>
      <w:r>
        <w:rPr>
          <w:rFonts w:hint="eastAsia" w:ascii="宋体" w:hAnsi="宋体" w:eastAsia="宋体" w:cs="宋体"/>
          <w:bCs/>
          <w:sz w:val="24"/>
          <w:szCs w:val="24"/>
          <w:lang w:val="zh-CN" w:eastAsia="zh-CN" w:bidi="ar-SA"/>
        </w:rPr>
        <w:t xml:space="preserve">分，每缺少一项内容，或内容错误，或内容非专门针对本项目，或内容不能满足本项目实际需求的，每一项扣</w:t>
      </w: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lang w:val="zh-CN" w:eastAsia="zh-CN" w:bidi="ar-SA"/>
        </w:rPr>
        <w:t xml:space="preserve">分。</w:t>
      </w:r>
      <w:r/>
    </w:p>
    <w:p>
      <w:pPr>
        <w:ind w:firstLine="482"/>
        <w:jc w:val="left"/>
        <w:keepLines w:val="0"/>
        <w:keepNext w:val="0"/>
        <w:pageBreakBefore w:val="0"/>
        <w:spacing w:line="500" w:lineRule="exact"/>
        <w:widowControl/>
        <w:rPr>
          <w:rFonts w:hint="eastAsia" w:ascii="宋体" w:hAnsi="宋体" w:eastAsia="宋体" w:cs="宋体"/>
          <w:b/>
          <w:bCs w:val="0"/>
          <w:sz w:val="24"/>
          <w:szCs w:val="24"/>
          <w:lang w:val="en-US" w:eastAsia="zh-CN" w:bidi="ar-SA"/>
        </w:rPr>
        <w:suppressLineNumbers w:val="0"/>
      </w:pPr>
      <w:r>
        <w:rPr>
          <w:rFonts w:hint="eastAsia" w:ascii="宋体" w:hAnsi="宋体" w:eastAsia="宋体" w:cs="宋体"/>
          <w:b/>
          <w:bCs w:val="0"/>
          <w:sz w:val="24"/>
          <w:szCs w:val="24"/>
          <w:lang w:val="en-US" w:eastAsia="zh-CN" w:bidi="ar-SA"/>
        </w:rPr>
        <w:t xml:space="preserve">2.运输、安装调试、验收方案（3分）</w:t>
      </w:r>
      <w:r/>
    </w:p>
    <w:p>
      <w:pPr>
        <w:ind w:firstLine="480"/>
        <w:jc w:val="left"/>
        <w:keepLines w:val="0"/>
        <w:keepNext w:val="0"/>
        <w:pageBreakBefore w:val="0"/>
        <w:spacing w:line="500" w:lineRule="exact"/>
        <w:widowControl/>
        <w:rPr>
          <w:rFonts w:hint="eastAsia" w:ascii="宋体" w:hAnsi="宋体" w:eastAsia="宋体" w:cs="宋体"/>
          <w:b w:val="0"/>
          <w:bCs/>
          <w:sz w:val="24"/>
          <w:szCs w:val="24"/>
          <w:highlight w:val="none"/>
          <w:lang w:val="en-US" w:eastAsia="zh-CN" w:bidi="ar-SA"/>
        </w:rPr>
        <w:suppressLineNumbers w:val="0"/>
      </w:pPr>
      <w:r>
        <w:rPr>
          <w:rFonts w:hint="eastAsia" w:ascii="宋体" w:hAnsi="宋体" w:eastAsia="宋体" w:cs="宋体"/>
          <w:b w:val="0"/>
          <w:bCs/>
          <w:sz w:val="24"/>
          <w:szCs w:val="24"/>
          <w:lang w:val="en-US" w:eastAsia="zh-CN" w:bidi="ar-SA"/>
        </w:rPr>
        <w:t xml:space="preserve">根据第三部分：项目需</w:t>
      </w:r>
      <w:r>
        <w:rPr>
          <w:rFonts w:hint="eastAsia" w:ascii="宋体" w:hAnsi="宋体" w:eastAsia="宋体" w:cs="宋体"/>
          <w:b w:val="0"/>
          <w:bCs/>
          <w:sz w:val="24"/>
          <w:szCs w:val="24"/>
          <w:highlight w:val="none"/>
          <w:lang w:val="en-US" w:eastAsia="zh-CN" w:bidi="ar-SA"/>
        </w:rPr>
        <w:t xml:space="preserve">求中（二）项目实施要求内容，投标人结合本项目实际情况，理解本项目的实际需求和特点，提供针对本项目的实施方案。方案</w:t>
      </w:r>
      <w:r>
        <w:rPr>
          <w:rFonts w:hint="eastAsia" w:ascii="宋体" w:hAnsi="宋体" w:eastAsia="宋体" w:cs="宋体"/>
          <w:b w:val="0"/>
          <w:bCs/>
          <w:sz w:val="24"/>
          <w:szCs w:val="24"/>
          <w:highlight w:val="none"/>
          <w:lang w:val="zh-CN" w:eastAsia="zh-CN" w:bidi="ar-SA"/>
        </w:rPr>
        <w:t xml:space="preserve">包含</w:t>
      </w:r>
      <w:r>
        <w:rPr>
          <w:rFonts w:hint="eastAsia" w:ascii="宋体" w:hAnsi="宋体" w:eastAsia="宋体" w:cs="宋体"/>
          <w:b w:val="0"/>
          <w:bCs/>
          <w:sz w:val="24"/>
          <w:szCs w:val="24"/>
          <w:highlight w:val="none"/>
          <w:lang w:val="en-US" w:eastAsia="zh-CN" w:bidi="ar-SA"/>
        </w:rPr>
        <w:t xml:space="preserve">①运输方案；②安装调试实施方案</w:t>
      </w:r>
      <w:r>
        <w:rPr>
          <w:rFonts w:hint="eastAsia" w:ascii="宋体" w:hAnsi="宋体" w:eastAsia="宋体" w:cs="宋体"/>
          <w:bCs/>
          <w:sz w:val="24"/>
          <w:szCs w:val="24"/>
          <w:lang w:val="en-US" w:eastAsia="zh-CN" w:bidi="ar-SA"/>
        </w:rPr>
        <w:t xml:space="preserve">；</w:t>
      </w:r>
      <w:r>
        <w:rPr>
          <w:rFonts w:hint="eastAsia" w:ascii="宋体" w:hAnsi="宋体" w:eastAsia="宋体" w:cs="宋体"/>
          <w:b w:val="0"/>
          <w:bCs/>
          <w:sz w:val="24"/>
          <w:szCs w:val="24"/>
          <w:highlight w:val="none"/>
          <w:lang w:val="en-US" w:eastAsia="zh-CN" w:bidi="ar-SA"/>
        </w:rPr>
        <w:t xml:space="preserve">③验收方案等内容</w:t>
      </w:r>
      <w:r>
        <w:rPr>
          <w:rFonts w:hint="eastAsia" w:ascii="宋体" w:hAnsi="宋体" w:eastAsia="宋体" w:cs="宋体"/>
          <w:bCs/>
          <w:sz w:val="24"/>
          <w:szCs w:val="24"/>
          <w:lang w:val="en-US" w:eastAsia="zh-CN" w:bidi="ar-SA"/>
        </w:rPr>
        <w:t xml:space="preserve">；</w:t>
      </w:r>
      <w:r/>
    </w:p>
    <w:p>
      <w:pPr>
        <w:numPr>
          <w:ilvl w:val="0"/>
          <w:numId w:val="0"/>
        </w:numPr>
        <w:ind w:firstLine="480"/>
        <w:keepLines w:val="0"/>
        <w:keepNext w:val="0"/>
        <w:pageBreakBefore w:val="0"/>
        <w:spacing w:line="500" w:lineRule="exact"/>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 xml:space="preserve">方案内容针对本项目且符合本项目实际需求的，</w:t>
      </w:r>
      <w:r>
        <w:rPr>
          <w:rFonts w:hint="eastAsia" w:ascii="宋体" w:hAnsi="宋体" w:eastAsia="宋体" w:cs="宋体"/>
          <w:b w:val="0"/>
          <w:bCs/>
          <w:sz w:val="24"/>
          <w:szCs w:val="24"/>
          <w:highlight w:val="none"/>
          <w:lang w:val="en-US" w:eastAsia="zh-CN" w:bidi="ar-SA"/>
        </w:rPr>
        <w:t xml:space="preserve">得3</w:t>
      </w:r>
      <w:r>
        <w:rPr>
          <w:rFonts w:hint="eastAsia" w:ascii="宋体" w:hAnsi="宋体" w:eastAsia="宋体" w:cs="宋体"/>
          <w:b w:val="0"/>
          <w:bCs/>
          <w:sz w:val="24"/>
          <w:szCs w:val="24"/>
          <w:highlight w:val="none"/>
          <w:lang w:val="zh-CN" w:eastAsia="zh-CN" w:bidi="ar-SA"/>
        </w:rPr>
        <w:t xml:space="preserve">分，每缺少一项内容，或内容错误，或内容非专门针对本项目，或内容不能满足本项目实际需求的，每一项扣</w:t>
      </w:r>
      <w:r>
        <w:rPr>
          <w:rFonts w:hint="eastAsia" w:ascii="宋体" w:hAnsi="宋体" w:eastAsia="宋体" w:cs="宋体"/>
          <w:b w:val="0"/>
          <w:bCs/>
          <w:sz w:val="24"/>
          <w:szCs w:val="24"/>
          <w:highlight w:val="none"/>
          <w:lang w:val="en-US" w:eastAsia="zh-CN" w:bidi="ar-SA"/>
        </w:rPr>
        <w:t xml:space="preserve">1</w:t>
      </w:r>
      <w:r>
        <w:rPr>
          <w:rFonts w:hint="eastAsia" w:ascii="宋体" w:hAnsi="宋体" w:eastAsia="宋体" w:cs="宋体"/>
          <w:b w:val="0"/>
          <w:bCs/>
          <w:sz w:val="24"/>
          <w:szCs w:val="24"/>
          <w:highlight w:val="none"/>
          <w:lang w:val="zh-CN" w:eastAsia="zh-CN" w:bidi="ar-SA"/>
        </w:rPr>
        <w:t xml:space="preserve">分。</w:t>
      </w:r>
      <w:r/>
    </w:p>
    <w:p>
      <w:pPr>
        <w:numPr>
          <w:ilvl w:val="0"/>
          <w:numId w:val="0"/>
        </w:numPr>
        <w:ind w:firstLine="482"/>
        <w:keepLines w:val="0"/>
        <w:keepNext w:val="0"/>
        <w:pageBreakBefore w:val="0"/>
        <w:spacing w:line="500" w:lineRule="exact"/>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3.质量保障措施方案、安全保障措施方案（2分）</w:t>
      </w:r>
      <w:r/>
    </w:p>
    <w:p>
      <w:pPr>
        <w:ind w:firstLine="480"/>
        <w:jc w:val="left"/>
        <w:keepLines w:val="0"/>
        <w:keepNext w:val="0"/>
        <w:pageBreakBefore w:val="0"/>
        <w:spacing w:line="500" w:lineRule="exact"/>
        <w:widowControl/>
        <w:rPr>
          <w:rFonts w:hint="eastAsia" w:ascii="宋体" w:hAnsi="宋体" w:eastAsia="宋体" w:cs="宋体"/>
          <w:b w:val="0"/>
          <w:bCs/>
          <w:sz w:val="24"/>
          <w:szCs w:val="24"/>
          <w:highlight w:val="none"/>
          <w:lang w:val="en-US" w:eastAsia="zh-CN" w:bidi="ar-SA"/>
        </w:rPr>
        <w:suppressLineNumbers w:val="0"/>
      </w:pPr>
      <w:r>
        <w:rPr>
          <w:rFonts w:hint="eastAsia" w:ascii="宋体" w:hAnsi="宋体" w:eastAsia="宋体" w:cs="宋体"/>
          <w:b w:val="0"/>
          <w:bCs/>
          <w:sz w:val="24"/>
          <w:szCs w:val="24"/>
          <w:highlight w:val="none"/>
          <w:lang w:val="en-US" w:eastAsia="zh-CN" w:bidi="ar-SA"/>
        </w:rPr>
        <w:t xml:space="preserve">根据第三部分：项目需求中（二）项目实施要求内容，投标人结合本项目实际情况，理解本项目的实际需求和特点，提供针对本项目的实施方案。方案</w:t>
      </w:r>
      <w:r>
        <w:rPr>
          <w:rFonts w:hint="eastAsia" w:ascii="宋体" w:hAnsi="宋体" w:eastAsia="宋体" w:cs="宋体"/>
          <w:b w:val="0"/>
          <w:bCs/>
          <w:sz w:val="24"/>
          <w:szCs w:val="24"/>
          <w:highlight w:val="none"/>
          <w:lang w:val="zh-CN" w:eastAsia="zh-CN" w:bidi="ar-SA"/>
        </w:rPr>
        <w:t xml:space="preserve">包含</w:t>
      </w:r>
      <w:r>
        <w:rPr>
          <w:rFonts w:hint="eastAsia" w:ascii="宋体" w:hAnsi="宋体" w:eastAsia="宋体" w:cs="宋体"/>
          <w:b w:val="0"/>
          <w:bCs/>
          <w:sz w:val="24"/>
          <w:szCs w:val="24"/>
          <w:highlight w:val="none"/>
          <w:lang w:val="en-US" w:eastAsia="zh-CN" w:bidi="ar-SA"/>
        </w:rPr>
        <w:t xml:space="preserve">①质量保障措施方案（包括原材料及配件质量保证方案、生产过程中质量管控方案）；②安全保障措施方案（包括安全保障措施、现场协调配合措施、成品保护措施、安全文明施工）等内容</w:t>
      </w:r>
      <w:r>
        <w:rPr>
          <w:rFonts w:hint="eastAsia" w:ascii="宋体" w:hAnsi="宋体" w:eastAsia="宋体" w:cs="宋体"/>
          <w:bCs/>
          <w:sz w:val="24"/>
          <w:szCs w:val="24"/>
          <w:lang w:val="en-US" w:eastAsia="zh-CN" w:bidi="ar-SA"/>
        </w:rPr>
        <w:t xml:space="preserve">；</w:t>
      </w:r>
      <w:r/>
    </w:p>
    <w:p>
      <w:pPr>
        <w:numPr>
          <w:ilvl w:val="0"/>
          <w:numId w:val="0"/>
        </w:numPr>
        <w:ind w:firstLine="480"/>
        <w:keepLines w:val="0"/>
        <w:keepNext w:val="0"/>
        <w:pageBreakBefore w:val="0"/>
        <w:spacing w:line="500" w:lineRule="exact"/>
        <w:rPr>
          <w:rFonts w:hint="eastAsia" w:ascii="宋体" w:hAnsi="宋体" w:eastAsia="宋体" w:cs="宋体"/>
          <w:b w:val="0"/>
          <w:bCs/>
          <w:sz w:val="24"/>
          <w:szCs w:val="24"/>
          <w:highlight w:val="none"/>
          <w:lang w:val="zh-CN" w:eastAsia="zh-CN" w:bidi="ar-SA"/>
        </w:rPr>
      </w:pPr>
      <w:r>
        <w:rPr>
          <w:rFonts w:hint="eastAsia" w:ascii="宋体" w:hAnsi="宋体" w:eastAsia="宋体" w:cs="宋体"/>
          <w:b w:val="0"/>
          <w:bCs/>
          <w:sz w:val="24"/>
          <w:szCs w:val="24"/>
          <w:highlight w:val="none"/>
          <w:lang w:val="zh-CN" w:eastAsia="zh-CN" w:bidi="ar-SA"/>
        </w:rPr>
        <w:t xml:space="preserve">方案内容针对本项目且符合本项目实际需求的，</w:t>
      </w:r>
      <w:r>
        <w:rPr>
          <w:rFonts w:hint="eastAsia" w:ascii="宋体" w:hAnsi="宋体" w:eastAsia="宋体" w:cs="宋体"/>
          <w:b w:val="0"/>
          <w:bCs/>
          <w:sz w:val="24"/>
          <w:szCs w:val="24"/>
          <w:highlight w:val="none"/>
          <w:lang w:val="en-US" w:eastAsia="zh-CN" w:bidi="ar-SA"/>
        </w:rPr>
        <w:t xml:space="preserve">2</w:t>
      </w:r>
      <w:r>
        <w:rPr>
          <w:rFonts w:hint="eastAsia" w:ascii="宋体" w:hAnsi="宋体" w:eastAsia="宋体" w:cs="宋体"/>
          <w:b w:val="0"/>
          <w:bCs/>
          <w:sz w:val="24"/>
          <w:szCs w:val="24"/>
          <w:highlight w:val="none"/>
          <w:lang w:val="zh-CN" w:eastAsia="zh-CN" w:bidi="ar-SA"/>
        </w:rPr>
        <w:t xml:space="preserve">分，每缺少一项内容，或内容错误，或内容非专门针对本项目，或内容不能满足本项目实际需求的，每一项扣</w:t>
      </w:r>
      <w:r>
        <w:rPr>
          <w:rFonts w:hint="eastAsia" w:ascii="宋体" w:hAnsi="宋体" w:eastAsia="宋体" w:cs="宋体"/>
          <w:b w:val="0"/>
          <w:bCs/>
          <w:sz w:val="24"/>
          <w:szCs w:val="24"/>
          <w:highlight w:val="none"/>
          <w:lang w:val="en-US" w:eastAsia="zh-CN" w:bidi="ar-SA"/>
        </w:rPr>
        <w:t xml:space="preserve">1</w:t>
      </w:r>
      <w:r>
        <w:rPr>
          <w:rFonts w:hint="eastAsia" w:ascii="宋体" w:hAnsi="宋体" w:eastAsia="宋体" w:cs="宋体"/>
          <w:b w:val="0"/>
          <w:bCs/>
          <w:sz w:val="24"/>
          <w:szCs w:val="24"/>
          <w:highlight w:val="none"/>
          <w:lang w:val="zh-CN" w:eastAsia="zh-CN" w:bidi="ar-SA"/>
        </w:rPr>
        <w:t xml:space="preserve">分。</w:t>
      </w:r>
      <w:r/>
    </w:p>
    <w:p>
      <w:pPr>
        <w:ind w:firstLine="480"/>
        <w:jc w:val="left"/>
        <w:keepLines w:val="0"/>
        <w:keepNext w:val="0"/>
        <w:pageBreakBefore w:val="0"/>
        <w:spacing w:line="500" w:lineRule="exact"/>
        <w:widowControl/>
        <w:rPr>
          <w:rFonts w:hint="eastAsia" w:ascii="宋体" w:hAnsi="宋体" w:eastAsia="宋体" w:cs="宋体"/>
          <w:b/>
          <w:bCs w:val="0"/>
          <w:sz w:val="24"/>
          <w:szCs w:val="24"/>
          <w:highlight w:val="none"/>
          <w:lang w:val="en-US" w:eastAsia="zh-CN" w:bidi="ar-SA"/>
        </w:rPr>
        <w:suppressLineNumbers w:val="0"/>
      </w:pPr>
      <w:r>
        <w:rPr>
          <w:rFonts w:hint="eastAsia" w:ascii="宋体" w:hAnsi="宋体" w:eastAsia="宋体" w:cs="宋体"/>
          <w:b w:val="0"/>
          <w:bCs/>
          <w:sz w:val="24"/>
          <w:szCs w:val="24"/>
          <w:highlight w:val="none"/>
          <w:lang w:val="en-US" w:eastAsia="zh-CN" w:bidi="ar-SA"/>
        </w:rPr>
        <w:t xml:space="preserve"> </w:t>
      </w:r>
      <w:r>
        <w:rPr>
          <w:rFonts w:hint="eastAsia" w:ascii="宋体" w:hAnsi="宋体" w:eastAsia="宋体" w:cs="宋体"/>
          <w:b/>
          <w:bCs w:val="0"/>
          <w:sz w:val="24"/>
          <w:szCs w:val="24"/>
          <w:highlight w:val="none"/>
          <w:lang w:val="en-US" w:eastAsia="zh-CN" w:bidi="ar-SA"/>
        </w:rPr>
        <w:t xml:space="preserve">4.售后服务方案（4分）</w:t>
      </w:r>
      <w:r/>
    </w:p>
    <w:p>
      <w:pPr>
        <w:ind w:firstLine="480"/>
        <w:jc w:val="left"/>
        <w:keepLines w:val="0"/>
        <w:keepNext w:val="0"/>
        <w:pageBreakBefore w:val="0"/>
        <w:spacing w:line="500" w:lineRule="exact"/>
        <w:widowControl/>
        <w:rPr>
          <w:rFonts w:hint="eastAsia" w:ascii="宋体" w:hAnsi="宋体" w:eastAsia="宋体" w:cs="宋体"/>
          <w:b w:val="0"/>
          <w:bCs/>
          <w:sz w:val="24"/>
          <w:szCs w:val="24"/>
          <w:lang w:val="en-US" w:eastAsia="zh-CN" w:bidi="ar-SA"/>
        </w:rPr>
        <w:suppressLineNumbers w:val="0"/>
      </w:pPr>
      <w:r>
        <w:rPr>
          <w:rFonts w:hint="eastAsia" w:ascii="宋体" w:hAnsi="宋体" w:eastAsia="宋体" w:cs="宋体"/>
          <w:b w:val="0"/>
          <w:bCs/>
          <w:sz w:val="24"/>
          <w:szCs w:val="24"/>
          <w:highlight w:val="none"/>
          <w:lang w:val="en-US" w:eastAsia="zh-CN" w:bidi="ar-SA"/>
        </w:rPr>
        <w:t xml:space="preserve">根据第三部分：项目需求中（五）售后要求内容，投标人结合本项目实际情况，理解本项目的实际需求和特点，提供针对本项目的实施方案。方</w:t>
      </w:r>
      <w:r>
        <w:rPr>
          <w:rFonts w:hint="eastAsia" w:ascii="宋体" w:hAnsi="宋体" w:eastAsia="宋体" w:cs="宋体"/>
          <w:b w:val="0"/>
          <w:bCs/>
          <w:sz w:val="24"/>
          <w:szCs w:val="24"/>
          <w:lang w:val="en-US" w:eastAsia="zh-CN" w:bidi="ar-SA"/>
        </w:rPr>
        <w:t xml:space="preserve">案</w:t>
      </w:r>
      <w:r>
        <w:rPr>
          <w:rFonts w:hint="eastAsia" w:ascii="宋体" w:hAnsi="宋体" w:eastAsia="宋体" w:cs="宋体"/>
          <w:b w:val="0"/>
          <w:bCs/>
          <w:sz w:val="24"/>
          <w:szCs w:val="24"/>
          <w:lang w:val="zh-CN" w:eastAsia="zh-CN" w:bidi="ar-SA"/>
        </w:rPr>
        <w:t xml:space="preserve">包含</w:t>
      </w:r>
      <w:r>
        <w:rPr>
          <w:rFonts w:hint="eastAsia" w:ascii="宋体" w:hAnsi="宋体" w:eastAsia="宋体" w:cs="宋体"/>
          <w:b w:val="0"/>
          <w:bCs/>
          <w:sz w:val="24"/>
          <w:szCs w:val="24"/>
          <w:lang w:val="en-US" w:eastAsia="zh-CN" w:bidi="ar-SA"/>
        </w:rPr>
        <w:t xml:space="preserve">①</w:t>
      </w:r>
      <w:r>
        <w:rPr>
          <w:rFonts w:hint="eastAsia" w:ascii="宋体" w:hAnsi="宋体" w:eastAsia="宋体" w:cs="宋体"/>
          <w:sz w:val="24"/>
          <w:szCs w:val="24"/>
        </w:rPr>
        <w:t xml:space="preserve">售后服务响应</w:t>
      </w:r>
      <w:r>
        <w:rPr>
          <w:rFonts w:hint="eastAsia" w:ascii="宋体" w:hAnsi="宋体" w:eastAsia="宋体" w:cs="宋体"/>
          <w:b w:val="0"/>
          <w:bCs/>
          <w:sz w:val="24"/>
          <w:szCs w:val="24"/>
          <w:lang w:val="en-US" w:eastAsia="zh-CN" w:bidi="ar-SA"/>
        </w:rPr>
        <w:t xml:space="preserve">；②</w:t>
      </w:r>
      <w:r>
        <w:rPr>
          <w:rFonts w:hint="eastAsia" w:ascii="宋体" w:hAnsi="宋体" w:eastAsia="宋体" w:cs="宋体"/>
          <w:bCs/>
          <w:sz w:val="24"/>
          <w:szCs w:val="24"/>
        </w:rPr>
        <w:t xml:space="preserve">应急预案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③维保方案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bidi="ar-SA"/>
        </w:rPr>
        <w:t xml:space="preserve">④增值服务</w:t>
      </w:r>
      <w:r>
        <w:rPr>
          <w:rFonts w:hint="eastAsia" w:ascii="宋体" w:hAnsi="宋体" w:eastAsia="宋体" w:cs="宋体"/>
          <w:b w:val="0"/>
          <w:bCs/>
          <w:sz w:val="24"/>
          <w:szCs w:val="24"/>
          <w:lang w:val="en-US" w:eastAsia="zh-CN" w:bidi="ar-SA"/>
        </w:rPr>
        <w:t xml:space="preserve">等内容</w:t>
      </w:r>
      <w:r>
        <w:rPr>
          <w:rFonts w:hint="eastAsia" w:ascii="宋体" w:hAnsi="宋体" w:eastAsia="宋体" w:cs="宋体"/>
          <w:bCs/>
          <w:sz w:val="24"/>
          <w:szCs w:val="24"/>
          <w:lang w:val="en-US" w:eastAsia="zh-CN" w:bidi="ar-SA"/>
        </w:rPr>
        <w:t xml:space="preserve">；</w:t>
      </w:r>
      <w:r/>
    </w:p>
    <w:p>
      <w:pPr>
        <w:numPr>
          <w:ilvl w:val="0"/>
          <w:numId w:val="0"/>
        </w:numPr>
        <w:ind w:firstLine="480"/>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val="0"/>
          <w:bCs/>
          <w:sz w:val="24"/>
          <w:szCs w:val="24"/>
          <w:lang w:val="zh-CN" w:eastAsia="zh-CN" w:bidi="ar-SA"/>
        </w:rPr>
        <w:t xml:space="preserve">方案内容针对本项目且符合本项目实际需求的，</w:t>
      </w:r>
      <w:r>
        <w:rPr>
          <w:rFonts w:hint="eastAsia" w:ascii="宋体" w:hAnsi="宋体" w:eastAsia="宋体" w:cs="宋体"/>
          <w:b w:val="0"/>
          <w:bCs/>
          <w:sz w:val="24"/>
          <w:szCs w:val="24"/>
          <w:lang w:val="en-US" w:eastAsia="zh-CN" w:bidi="ar-SA"/>
        </w:rPr>
        <w:t xml:space="preserve">4</w:t>
      </w:r>
      <w:r>
        <w:rPr>
          <w:rFonts w:hint="eastAsia" w:ascii="宋体" w:hAnsi="宋体" w:eastAsia="宋体" w:cs="宋体"/>
          <w:b w:val="0"/>
          <w:bCs/>
          <w:sz w:val="24"/>
          <w:szCs w:val="24"/>
          <w:lang w:val="zh-CN" w:eastAsia="zh-CN" w:bidi="ar-SA"/>
        </w:rPr>
        <w:t xml:space="preserve">分，每缺少一项内容，或内容错误，或内容非专门针对本项目，或内容不能满足本项目实际需求的，每一项扣</w:t>
      </w:r>
      <w:r>
        <w:rPr>
          <w:rFonts w:hint="eastAsia" w:ascii="宋体" w:hAnsi="宋体" w:eastAsia="宋体" w:cs="宋体"/>
          <w:b w:val="0"/>
          <w:bCs/>
          <w:sz w:val="24"/>
          <w:szCs w:val="24"/>
          <w:lang w:val="en-US" w:eastAsia="zh-CN" w:bidi="ar-SA"/>
        </w:rPr>
        <w:t xml:space="preserve">1</w:t>
      </w:r>
      <w:r>
        <w:rPr>
          <w:rFonts w:hint="eastAsia" w:ascii="宋体" w:hAnsi="宋体" w:eastAsia="宋体" w:cs="宋体"/>
          <w:b w:val="0"/>
          <w:bCs/>
          <w:sz w:val="24"/>
          <w:szCs w:val="24"/>
          <w:lang w:val="zh-CN" w:eastAsia="zh-CN" w:bidi="ar-SA"/>
        </w:rPr>
        <w:t xml:space="preserve">分。</w:t>
      </w:r>
      <w:r/>
    </w:p>
    <w:p>
      <w:pPr>
        <w:ind w:firstLine="482"/>
        <w:keepLines w:val="0"/>
        <w:keepNext w:val="0"/>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sz w:val="24"/>
          <w:szCs w:val="24"/>
          <w:highlight w:val="none"/>
        </w:rPr>
        <w:t xml:space="preserve">履约能力比较（</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pStyle w:val="1000"/>
        <w:ind w:firstLine="480"/>
        <w:keepLines w:val="0"/>
        <w:keepNext w:val="0"/>
        <w:pageBreakBefore w:val="0"/>
        <w:spacing w:line="500" w:lineRule="exact"/>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所投产品生产厂家具有中国环境标志产品认证证书（须含：钢塑家具、钢木家具、金属家具、人造板家具)的得1分。【投标文件中须提供有效期内证书扫描件及认证监督网查询截图，资料提供不全的不得分】（1分）</w:t>
      </w:r>
      <w:r/>
    </w:p>
    <w:p>
      <w:pPr>
        <w:pStyle w:val="1000"/>
        <w:ind w:firstLine="480"/>
        <w:keepLines w:val="0"/>
        <w:keepNext w:val="0"/>
        <w:pageBreakBefore w:val="0"/>
        <w:spacing w:line="500" w:lineRule="exact"/>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所投产品生产厂家具有家具产品环保卫士认证证书（须含：钢塑家具、塑料家具、木制家具、钢木家具）的得1分，【投标文件中须提供有效期内证书扫描件及认证监督网查询截图，资料提供不全的不得分】。（1分）</w:t>
      </w:r>
      <w:r/>
    </w:p>
    <w:p>
      <w:pPr>
        <w:pStyle w:val="1000"/>
        <w:ind w:firstLine="480"/>
        <w:keepLines w:val="0"/>
        <w:keepNext w:val="0"/>
        <w:pageBreakBefore w:val="0"/>
        <w:spacing w:line="500" w:lineRule="exact"/>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所投产品生产厂家具有低Vocs家具产品认证证书（须含：钢塑家具、塑料家具、木制家具、钢木家具）的得1分，【投标文件中须提供有效期内证书扫描件及认证监督网查询截图，资料提供不全的不得分】。（1分）</w:t>
      </w:r>
      <w:r/>
    </w:p>
    <w:p>
      <w:pPr>
        <w:pStyle w:val="1000"/>
        <w:ind w:firstLine="480"/>
        <w:keepLines w:val="0"/>
        <w:keepNext w:val="0"/>
        <w:pageBreakBefore w:val="0"/>
        <w:spacing w:line="500" w:lineRule="exact"/>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4.所投产品生产厂家具有中国环保认证证书（CQC）（须含：金属教学家具）的得1分，【投标文件中须提供有效期内证书扫描件及认证监督网查询截图，资料提供不全的不得分】。（1分）</w:t>
      </w:r>
      <w:r/>
    </w:p>
    <w:p>
      <w:pPr>
        <w:pStyle w:val="1000"/>
        <w:ind w:firstLine="480"/>
        <w:keepLines w:val="0"/>
        <w:keepNext w:val="0"/>
        <w:pageBreakBefore w:val="0"/>
        <w:spacing w:line="500" w:lineRule="exact"/>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5.所投产品生产厂家具有人类工效学产品认证证书（须含：桌类、椅类、柜类、床类）的得1分，【投标文件中须提供有效期内证书扫描件及认证监督网查询截图，资料提供不全的不得分】。（1分）</w:t>
      </w:r>
      <w:r/>
    </w:p>
    <w:p>
      <w:pPr>
        <w:spacing w:line="500" w:lineRule="exact"/>
        <w:rPr>
          <w:rFonts w:ascii="宋体" w:hAnsi="宋体"/>
          <w:b/>
          <w:color w:val="000000"/>
          <w:sz w:val="24"/>
        </w:rPr>
      </w:pPr>
      <w:r>
        <w:rPr>
          <w:rFonts w:ascii="宋体" w:hAnsi="宋体"/>
          <w:b/>
          <w:color w:val="000000"/>
          <w:sz w:val="24"/>
        </w:rPr>
      </w:r>
      <w:r/>
    </w:p>
    <w:p>
      <w:pPr>
        <w:spacing w:line="500" w:lineRule="exact"/>
        <w:rPr>
          <w:rFonts w:ascii="宋体" w:hAnsi="宋体"/>
          <w:b/>
          <w:color w:val="000000"/>
          <w:sz w:val="24"/>
        </w:rPr>
      </w:pPr>
      <w:r>
        <w:rPr>
          <w:rFonts w:ascii="宋体" w:hAnsi="宋体"/>
          <w:b/>
          <w:color w:val="000000"/>
          <w:sz w:val="24"/>
        </w:rPr>
      </w:r>
      <w:r/>
    </w:p>
    <w:p>
      <w:pPr>
        <w:spacing w:line="560" w:lineRule="exact"/>
        <w:rPr>
          <w:rFonts w:ascii="宋体" w:hAnsi="宋体"/>
          <w:b/>
          <w:color w:val="000000"/>
          <w:sz w:val="24"/>
        </w:rPr>
      </w:pPr>
      <w:r>
        <w:rPr>
          <w:rFonts w:hint="eastAsia" w:ascii="宋体" w:hAnsi="宋体"/>
          <w:b/>
          <w:color w:val="000000"/>
          <w:sz w:val="24"/>
        </w:rPr>
        <w:t xml:space="preserve">注：</w:t>
      </w:r>
      <w:r/>
    </w:p>
    <w:p>
      <w:pPr>
        <w:spacing w:line="560" w:lineRule="exact"/>
        <w:rPr>
          <w:rFonts w:ascii="宋体" w:hAnsi="宋体"/>
          <w:b/>
          <w:color w:val="000000"/>
          <w:sz w:val="24"/>
        </w:rPr>
      </w:pPr>
      <w:r>
        <w:rPr>
          <w:rFonts w:hint="eastAsia" w:ascii="宋体" w:hAnsi="宋体"/>
          <w:b/>
          <w:color w:val="000000"/>
          <w:sz w:val="24"/>
        </w:rPr>
        <w:t xml:space="preserve">1、报价超过采购预算的为无效投标。</w:t>
      </w:r>
      <w:r/>
    </w:p>
    <w:p>
      <w:pPr>
        <w:spacing w:line="560" w:lineRule="exact"/>
        <w:rPr>
          <w:rFonts w:ascii="宋体" w:hAnsi="宋体"/>
          <w:b/>
          <w:color w:val="000000"/>
          <w:sz w:val="24"/>
        </w:rPr>
      </w:pPr>
      <w:r>
        <w:rPr>
          <w:rFonts w:hint="eastAsia" w:ascii="宋体" w:hAnsi="宋体"/>
          <w:b/>
          <w:color w:val="000000"/>
          <w:sz w:val="24"/>
        </w:rPr>
        <w:t xml:space="preserve">2、针对评分标准中评分的每一条，投标人均应提供相关电子证明资料并作出相应说明供评委评判，不提供相关电子证明资料的视为不具备该项得分的条件。</w:t>
      </w:r>
      <w:r/>
    </w:p>
    <w:p>
      <w:pPr>
        <w:pStyle w:val="1000"/>
        <w:spacing w:line="500" w:lineRule="exact"/>
        <w:rPr>
          <w:rFonts w:ascii="宋体" w:hAnsi="宋体" w:cs="宋体"/>
          <w:sz w:val="24"/>
        </w:rPr>
      </w:pPr>
      <w:r>
        <w:rPr>
          <w:rFonts w:hint="eastAsia" w:ascii="宋体" w:hAnsi="宋体"/>
          <w:b/>
          <w:color w:val="000000"/>
          <w:sz w:val="24"/>
        </w:rPr>
        <w:t xml:space="preserve">3、所有扫描件字迹须清晰可见,扫描件不全或字迹不清晰的，视为未提供。</w:t>
      </w:r>
      <w:r/>
    </w:p>
    <w:p>
      <w:pPr>
        <w:pStyle w:val="1000"/>
        <w:spacing w:line="500" w:lineRule="exact"/>
        <w:rPr>
          <w:rFonts w:ascii="宋体" w:hAnsi="宋体" w:cs="宋体"/>
          <w:sz w:val="24"/>
        </w:rPr>
      </w:pPr>
      <w:r>
        <w:rPr>
          <w:rFonts w:ascii="宋体" w:hAnsi="宋体" w:cs="宋体"/>
          <w:sz w:val="24"/>
        </w:rPr>
      </w:r>
      <w:r/>
    </w:p>
    <w:p>
      <w:pPr>
        <w:pStyle w:val="1000"/>
        <w:spacing w:line="500" w:lineRule="exact"/>
        <w:rPr>
          <w:rFonts w:ascii="宋体" w:hAnsi="宋体" w:cs="宋体"/>
          <w:sz w:val="24"/>
        </w:rPr>
      </w:pPr>
      <w:r>
        <w:rPr>
          <w:rFonts w:ascii="宋体" w:hAnsi="宋体" w:cs="宋体"/>
          <w:sz w:val="24"/>
        </w:rPr>
      </w:r>
      <w:r/>
    </w:p>
    <w:p>
      <w:pPr>
        <w:pStyle w:val="1000"/>
        <w:spacing w:line="500" w:lineRule="exact"/>
        <w:rPr>
          <w:rFonts w:ascii="宋体" w:hAnsi="宋体" w:cs="宋体"/>
          <w:sz w:val="24"/>
        </w:rPr>
      </w:pPr>
      <w:r>
        <w:rPr>
          <w:rFonts w:ascii="宋体" w:hAnsi="宋体" w:cs="宋体"/>
          <w:sz w:val="24"/>
        </w:rPr>
      </w:r>
      <w:r/>
    </w:p>
    <w:p>
      <w:pPr>
        <w:pStyle w:val="1000"/>
        <w:spacing w:line="500" w:lineRule="exact"/>
        <w:rPr>
          <w:rFonts w:ascii="宋体" w:hAnsi="宋体" w:cs="宋体"/>
          <w:sz w:val="24"/>
        </w:rPr>
      </w:pPr>
      <w:r>
        <w:rPr>
          <w:rFonts w:ascii="宋体" w:hAnsi="宋体" w:cs="宋体"/>
          <w:sz w:val="24"/>
        </w:rPr>
      </w:r>
      <w:r/>
    </w:p>
    <w:p>
      <w:pPr>
        <w:pStyle w:val="1000"/>
        <w:spacing w:line="500" w:lineRule="exact"/>
        <w:rPr>
          <w:rFonts w:ascii="宋体" w:hAnsi="宋体" w:cs="宋体"/>
          <w:sz w:val="24"/>
        </w:rPr>
      </w:pPr>
      <w:r>
        <w:rPr>
          <w:rFonts w:ascii="宋体" w:hAnsi="宋体" w:cs="宋体"/>
          <w:sz w:val="24"/>
        </w:rPr>
      </w:r>
      <w:r/>
    </w:p>
    <w:p>
      <w:pPr>
        <w:pStyle w:val="1000"/>
        <w:spacing w:line="500" w:lineRule="exact"/>
        <w:rPr>
          <w:rFonts w:ascii="宋体" w:hAnsi="宋体" w:cs="宋体"/>
          <w:sz w:val="24"/>
        </w:rPr>
      </w:pPr>
      <w:r>
        <w:rPr>
          <w:rFonts w:ascii="宋体" w:hAnsi="宋体" w:cs="宋体"/>
          <w:sz w:val="24"/>
        </w:rPr>
      </w:r>
      <w:r/>
    </w:p>
    <w:p>
      <w:pPr>
        <w:pStyle w:val="1000"/>
        <w:spacing w:line="500" w:lineRule="exact"/>
        <w:rPr>
          <w:rFonts w:ascii="宋体" w:hAnsi="宋体" w:cs="宋体"/>
          <w:sz w:val="24"/>
        </w:rPr>
      </w:pPr>
      <w:r>
        <w:rPr>
          <w:rFonts w:hint="eastAsia" w:ascii="宋体" w:hAnsi="宋体" w:cs="宋体"/>
          <w:sz w:val="24"/>
        </w:rPr>
        <w:t xml:space="preserve">注：1、报价超过采购预算的为无效投标。</w:t>
      </w:r>
      <w:r/>
    </w:p>
    <w:p>
      <w:pPr>
        <w:pStyle w:val="1000"/>
        <w:ind w:firstLine="480"/>
        <w:spacing w:line="500" w:lineRule="exact"/>
        <w:rPr>
          <w:rFonts w:ascii="宋体" w:hAnsi="宋体" w:cs="宋体"/>
          <w:sz w:val="24"/>
        </w:rPr>
      </w:pPr>
      <w:r>
        <w:rPr>
          <w:rFonts w:hint="eastAsia" w:ascii="宋体" w:hAnsi="宋体" w:cs="宋体"/>
          <w:sz w:val="24"/>
        </w:rPr>
        <w:t xml:space="preserve">2、针对评分标准中评分的每一条，投标人均应提供相关电子证明资料并作出相应说明供评委评判，不提供相关电子证明资料的视为不具备该项得分的条件。</w:t>
      </w:r>
      <w:r/>
    </w:p>
    <w:p>
      <w:pPr>
        <w:pStyle w:val="1000"/>
        <w:ind w:firstLine="480"/>
        <w:spacing w:line="500" w:lineRule="exact"/>
        <w:rPr>
          <w:rFonts w:ascii="宋体" w:hAnsi="宋体" w:cs="宋体"/>
          <w:sz w:val="24"/>
        </w:rPr>
      </w:pPr>
      <w:r>
        <w:rPr>
          <w:rFonts w:hint="eastAsia" w:ascii="宋体" w:hAnsi="宋体" w:cs="宋体"/>
          <w:sz w:val="24"/>
        </w:rPr>
        <w:t xml:space="preserve">3、所有复印件字迹须复印清晰可见,复印不全或字迹不清晰的，视为未提供。</w:t>
      </w:r>
      <w:r/>
    </w:p>
    <w:p>
      <w:pPr>
        <w:pStyle w:val="1000"/>
        <w:spacing w:line="500" w:lineRule="exact"/>
        <w:rPr>
          <w:rFonts w:ascii="宋体" w:hAnsi="宋体" w:cs="宋体"/>
          <w:sz w:val="24"/>
        </w:rPr>
      </w:pPr>
      <w:r>
        <w:rPr>
          <w:rFonts w:ascii="宋体" w:hAnsi="宋体" w:cs="宋体"/>
          <w:sz w:val="24"/>
        </w:rPr>
      </w:r>
      <w:r/>
    </w:p>
    <w:p>
      <w:pPr>
        <w:pStyle w:val="1000"/>
        <w:spacing w:line="500" w:lineRule="exact"/>
        <w:rPr>
          <w:rFonts w:ascii="宋体" w:hAnsi="宋体" w:cs="宋体"/>
          <w:sz w:val="44"/>
          <w:szCs w:val="44"/>
        </w:rPr>
      </w:pPr>
      <w:r>
        <w:rPr>
          <w:rFonts w:ascii="宋体" w:hAnsi="宋体" w:cs="宋体"/>
          <w:sz w:val="44"/>
          <w:szCs w:val="44"/>
        </w:rPr>
      </w:r>
      <w:r/>
    </w:p>
    <w:p>
      <w:pPr>
        <w:jc w:val="center"/>
        <w:spacing w:before="240" w:after="240"/>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jc w:val="center"/>
        <w:spacing w:before="240" w:after="240"/>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jc w:val="center"/>
        <w:spacing w:before="240" w:after="240"/>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jc w:val="center"/>
        <w:spacing w:before="240" w:after="240"/>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jc w:val="center"/>
        <w:spacing w:before="240" w:after="240"/>
        <w:rPr>
          <w:rFonts w:ascii="宋体" w:hAnsi="宋体" w:cs="宋体"/>
          <w:b/>
          <w:sz w:val="44"/>
        </w:rPr>
        <w:pBdr>
          <w:top w:val="none" w:color="000000" w:sz="0" w:space="0"/>
          <w:left w:val="none" w:color="000000" w:sz="0" w:space="0"/>
          <w:bottom w:val="none" w:color="000000" w:sz="0" w:space="0"/>
          <w:right w:val="none" w:color="000000" w:sz="0" w:space="0"/>
        </w:pBdr>
      </w:pPr>
      <w:r>
        <w:rPr>
          <w:rFonts w:ascii="宋体" w:hAnsi="宋体" w:cs="宋体"/>
          <w:b/>
          <w:sz w:val="44"/>
        </w:rPr>
      </w:r>
      <w:r/>
    </w:p>
    <w:p>
      <w:pPr>
        <w:jc w:val="center"/>
        <w:spacing w:before="240" w:after="240"/>
        <w:rPr>
          <w:rFonts w:ascii="宋体" w:hAnsi="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第六部分 合同格式</w:t>
      </w:r>
      <w:r/>
    </w:p>
    <w:p>
      <w:pPr>
        <w:jc w:val="center"/>
        <w:spacing w:line="278" w:lineRule="auto"/>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ind w:firstLine="881"/>
        <w:jc w:val="center"/>
        <w:spacing w:after="160" w:line="400" w:lineRule="exact"/>
        <w:rPr>
          <w:rFonts w:ascii="华文楷体" w:hAnsi="华文楷体" w:eastAsia="华文楷体" w:cs="华文楷体"/>
          <w:szCs w:val="21"/>
        </w:rPr>
      </w:pPr>
      <w:r>
        <w:rPr>
          <w:rFonts w:hint="eastAsia" w:ascii="宋体" w:hAnsi="宋体" w:eastAsia="华文楷体" w:cs="宋体"/>
          <w:b/>
          <w:bCs/>
          <w:spacing w:val="-20"/>
          <w:sz w:val="48"/>
          <w:szCs w:val="48"/>
        </w:rPr>
        <w:t xml:space="preserve">（试行）</w:t>
      </w:r>
      <w:r/>
    </w:p>
    <w:p>
      <w:pPr>
        <w:ind w:firstLine="440"/>
        <w:spacing w:after="160" w:line="400" w:lineRule="exact"/>
        <w:rPr>
          <w:rFonts w:ascii="华文楷体" w:hAnsi="华文楷体" w:eastAsia="华文楷体" w:cs="华文楷体"/>
          <w:szCs w:val="21"/>
        </w:rPr>
      </w:pPr>
      <w:r>
        <w:rPr>
          <w:rFonts w:ascii="华文楷体" w:hAnsi="华文楷体" w:eastAsia="华文楷体" w:cs="华文楷体"/>
          <w:szCs w:val="21"/>
        </w:rPr>
      </w:r>
      <w:r/>
    </w:p>
    <w:p>
      <w:pPr>
        <w:ind w:firstLine="440"/>
        <w:spacing w:after="160" w:line="400" w:lineRule="exact"/>
        <w:rPr>
          <w:rFonts w:ascii="华文楷体" w:hAnsi="华文楷体" w:eastAsia="华文楷体" w:cs="华文楷体"/>
          <w:szCs w:val="21"/>
        </w:rPr>
      </w:pPr>
      <w:r>
        <w:rPr>
          <w:rFonts w:ascii="华文楷体" w:hAnsi="华文楷体" w:eastAsia="华文楷体" w:cs="华文楷体"/>
          <w:szCs w:val="21"/>
        </w:rPr>
      </w:r>
      <w:r/>
    </w:p>
    <w:p>
      <w:pPr>
        <w:ind w:firstLine="440"/>
        <w:spacing w:after="160" w:line="400" w:lineRule="exact"/>
        <w:rPr>
          <w:rFonts w:ascii="华文楷体" w:hAnsi="华文楷体" w:eastAsia="华文楷体" w:cs="华文楷体"/>
          <w:szCs w:val="21"/>
        </w:rPr>
      </w:pPr>
      <w:r>
        <w:rPr>
          <w:rFonts w:ascii="华文楷体" w:hAnsi="华文楷体" w:eastAsia="华文楷体" w:cs="华文楷体"/>
          <w:szCs w:val="21"/>
        </w:rPr>
      </w:r>
      <w:r/>
    </w:p>
    <w:p>
      <w:pPr>
        <w:ind w:firstLine="440"/>
        <w:spacing w:after="160" w:line="400" w:lineRule="exact"/>
        <w:rPr>
          <w:rFonts w:ascii="华文楷体" w:hAnsi="华文楷体" w:eastAsia="华文楷体" w:cs="华文楷体"/>
          <w:szCs w:val="21"/>
        </w:rPr>
      </w:pPr>
      <w:r>
        <w:rPr>
          <w:rFonts w:ascii="华文楷体" w:hAnsi="华文楷体" w:eastAsia="华文楷体" w:cs="华文楷体"/>
          <w:szCs w:val="21"/>
        </w:rPr>
      </w:r>
      <w:r/>
    </w:p>
    <w:p>
      <w:pPr>
        <w:ind w:left="420"/>
        <w:spacing w:after="160" w:line="360" w:lineRule="auto"/>
        <w:rPr>
          <w:rFonts w:ascii="Times New Roman" w:hAnsi="Times New Roman"/>
          <w:sz w:val="32"/>
          <w:szCs w:val="32"/>
        </w:rPr>
      </w:pPr>
      <w:r>
        <w:rPr>
          <w:rFonts w:hint="eastAsia" w:ascii="宋体" w:hAnsi="宋体" w:cs="宋体"/>
          <w:sz w:val="32"/>
          <w:szCs w:val="32"/>
        </w:rPr>
        <w:t xml:space="preserve">项目名称：</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合同编号：</w:t>
      </w:r>
      <w:r/>
    </w:p>
    <w:p>
      <w:pPr>
        <w:ind w:left="420"/>
        <w:spacing w:after="160" w:line="360" w:lineRule="auto"/>
        <w:rPr>
          <w:rFonts w:ascii="Times New Roman" w:hAnsi="Times New Roman"/>
          <w:sz w:val="32"/>
          <w:szCs w:val="32"/>
        </w:rPr>
      </w:pPr>
      <w:r>
        <w:rPr>
          <w:rFonts w:hint="eastAsia" w:ascii="Times New Roman" w:hAnsi="Times New Roman"/>
          <w:sz w:val="32"/>
          <w:szCs w:val="32"/>
        </w:rPr>
        <w:t xml:space="preserve">甲    方：</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乙    方：</w:t>
      </w:r>
      <w:r/>
    </w:p>
    <w:p>
      <w:pPr>
        <w:ind w:left="420"/>
        <w:spacing w:after="160" w:line="360" w:lineRule="auto"/>
        <w:rPr>
          <w:rFonts w:ascii="Times New Roman" w:hAnsi="Times New Roman"/>
          <w:sz w:val="32"/>
          <w:szCs w:val="32"/>
          <w:u w:val="single"/>
        </w:rPr>
      </w:pPr>
      <w:r>
        <w:rPr>
          <w:rFonts w:hint="eastAsia" w:ascii="Times New Roman" w:hAnsi="Times New Roman"/>
          <w:sz w:val="32"/>
          <w:szCs w:val="32"/>
        </w:rPr>
        <w:t xml:space="preserve">签订时间：</w:t>
      </w:r>
      <w:r/>
    </w:p>
    <w:p>
      <w:pPr>
        <w:ind w:firstLine="640"/>
        <w:spacing w:after="160" w:line="400" w:lineRule="exact"/>
        <w:rPr>
          <w:rFonts w:ascii="华文楷体" w:hAnsi="华文楷体" w:eastAsia="华文楷体" w:cs="华文楷体"/>
          <w:sz w:val="32"/>
          <w:szCs w:val="32"/>
          <w:u w:val="single"/>
        </w:rPr>
      </w:pPr>
      <w:r>
        <w:rPr>
          <w:rFonts w:ascii="华文楷体" w:hAnsi="华文楷体" w:eastAsia="华文楷体" w:cs="华文楷体"/>
          <w:sz w:val="32"/>
          <w:szCs w:val="32"/>
          <w:u w:val="single"/>
        </w:rPr>
      </w:r>
      <w:r/>
    </w:p>
    <w:p>
      <w:pPr>
        <w:ind w:firstLine="640"/>
        <w:spacing w:after="160" w:line="400" w:lineRule="exact"/>
        <w:rPr>
          <w:rFonts w:ascii="华文楷体" w:hAnsi="华文楷体" w:eastAsia="华文楷体" w:cs="华文楷体"/>
          <w:sz w:val="32"/>
          <w:szCs w:val="32"/>
          <w:u w:val="single"/>
        </w:rPr>
      </w:pPr>
      <w:r>
        <w:rPr>
          <w:rFonts w:ascii="华文楷体" w:hAnsi="华文楷体" w:eastAsia="华文楷体" w:cs="华文楷体"/>
          <w:sz w:val="32"/>
          <w:szCs w:val="32"/>
          <w:u w:val="single"/>
        </w:rPr>
      </w:r>
      <w:r/>
    </w:p>
    <w:p>
      <w:pPr>
        <w:ind w:firstLine="640"/>
        <w:spacing w:after="160" w:line="400" w:lineRule="exact"/>
        <w:rPr>
          <w:rFonts w:ascii="华文楷体" w:hAnsi="华文楷体" w:eastAsia="华文楷体" w:cs="华文楷体"/>
          <w:sz w:val="32"/>
          <w:szCs w:val="32"/>
          <w:u w:val="single"/>
        </w:rPr>
      </w:pPr>
      <w:r>
        <w:rPr>
          <w:rFonts w:ascii="华文楷体" w:hAnsi="华文楷体" w:eastAsia="华文楷体" w:cs="华文楷体"/>
          <w:sz w:val="32"/>
          <w:szCs w:val="32"/>
          <w:u w:val="single"/>
        </w:rPr>
      </w:r>
      <w:r/>
    </w:p>
    <w:p>
      <w:pPr>
        <w:ind w:firstLine="640"/>
        <w:spacing w:after="160" w:line="400" w:lineRule="exact"/>
        <w:rPr>
          <w:rFonts w:ascii="华文楷体" w:hAnsi="华文楷体" w:eastAsia="华文楷体" w:cs="华文楷体"/>
          <w:sz w:val="32"/>
          <w:szCs w:val="32"/>
          <w:u w:val="single"/>
        </w:rPr>
      </w:pPr>
      <w:r>
        <w:rPr>
          <w:rFonts w:ascii="华文楷体" w:hAnsi="华文楷体" w:eastAsia="华文楷体" w:cs="华文楷体"/>
          <w:sz w:val="32"/>
          <w:szCs w:val="32"/>
          <w:u w:val="single"/>
        </w:rPr>
      </w:r>
      <w:r/>
    </w:p>
    <w:p>
      <w:pPr>
        <w:ind w:firstLine="640"/>
        <w:spacing w:after="160" w:line="400" w:lineRule="exact"/>
        <w:rPr>
          <w:rFonts w:ascii="华文楷体" w:hAnsi="华文楷体" w:eastAsia="华文楷体" w:cs="华文楷体"/>
          <w:sz w:val="32"/>
          <w:szCs w:val="32"/>
          <w:u w:val="single"/>
        </w:rPr>
      </w:pPr>
      <w:r>
        <w:rPr>
          <w:rFonts w:ascii="华文楷体" w:hAnsi="华文楷体" w:eastAsia="华文楷体" w:cs="华文楷体"/>
          <w:sz w:val="32"/>
          <w:szCs w:val="32"/>
          <w:u w:val="single"/>
        </w:rPr>
      </w:r>
      <w:r/>
    </w:p>
    <w:p>
      <w:pPr>
        <w:ind w:firstLine="640"/>
        <w:spacing w:after="160" w:line="400" w:lineRule="exact"/>
        <w:rPr>
          <w:rFonts w:ascii="华文楷体" w:hAnsi="华文楷体" w:eastAsia="华文楷体" w:cs="华文楷体"/>
          <w:sz w:val="32"/>
          <w:szCs w:val="32"/>
          <w:u w:val="single"/>
        </w:rPr>
      </w:pPr>
      <w:r>
        <w:rPr>
          <w:rFonts w:ascii="华文楷体" w:hAnsi="华文楷体" w:eastAsia="华文楷体" w:cs="华文楷体"/>
          <w:sz w:val="32"/>
          <w:szCs w:val="32"/>
          <w:u w:val="single"/>
        </w:rPr>
      </w:r>
      <w:r/>
    </w:p>
    <w:p>
      <w:pPr>
        <w:ind w:firstLine="640"/>
        <w:spacing w:after="160" w:line="400" w:lineRule="exact"/>
        <w:rPr>
          <w:rFonts w:ascii="华文楷体" w:hAnsi="华文楷体" w:eastAsia="华文楷体" w:cs="华文楷体"/>
          <w:sz w:val="32"/>
          <w:szCs w:val="32"/>
          <w:u w:val="single"/>
        </w:rPr>
      </w:pPr>
      <w:r>
        <w:rPr>
          <w:rFonts w:ascii="华文楷体" w:hAnsi="华文楷体" w:eastAsia="华文楷体" w:cs="华文楷体"/>
          <w:sz w:val="32"/>
          <w:szCs w:val="32"/>
          <w:u w:val="single"/>
        </w:rPr>
      </w:r>
      <w:r/>
    </w:p>
    <w:p>
      <w:pPr>
        <w:ind w:firstLine="640"/>
        <w:spacing w:after="160" w:line="400" w:lineRule="exact"/>
        <w:rPr>
          <w:rFonts w:ascii="华文楷体" w:hAnsi="华文楷体" w:eastAsia="华文楷体" w:cs="华文楷体"/>
          <w:sz w:val="32"/>
          <w:szCs w:val="32"/>
          <w:u w:val="single"/>
        </w:rPr>
      </w:pPr>
      <w:r>
        <w:rPr>
          <w:rFonts w:ascii="华文楷体" w:hAnsi="华文楷体" w:eastAsia="华文楷体" w:cs="华文楷体"/>
          <w:sz w:val="32"/>
          <w:szCs w:val="32"/>
          <w:u w:val="single"/>
        </w:rPr>
      </w:r>
      <w:r/>
    </w:p>
    <w:p>
      <w:pPr>
        <w:ind w:firstLine="640"/>
        <w:spacing w:after="160" w:line="400" w:lineRule="exact"/>
        <w:rPr>
          <w:rFonts w:ascii="华文楷体" w:hAnsi="华文楷体" w:eastAsia="华文楷体" w:cs="华文楷体"/>
          <w:sz w:val="32"/>
          <w:szCs w:val="32"/>
          <w:u w:val="single"/>
        </w:rPr>
      </w:pPr>
      <w:r>
        <w:rPr>
          <w:rFonts w:ascii="华文楷体" w:hAnsi="华文楷体" w:eastAsia="华文楷体" w:cs="华文楷体"/>
          <w:sz w:val="32"/>
          <w:szCs w:val="32"/>
          <w:u w:val="single"/>
        </w:rPr>
      </w:r>
      <w:r/>
    </w:p>
    <w:p>
      <w:pPr>
        <w:ind w:firstLine="640"/>
        <w:spacing w:after="160" w:line="400" w:lineRule="exact"/>
        <w:rPr>
          <w:rFonts w:ascii="华文楷体" w:hAnsi="华文楷体" w:eastAsia="华文楷体" w:cs="华文楷体"/>
          <w:sz w:val="32"/>
          <w:szCs w:val="32"/>
          <w:u w:val="single"/>
        </w:rPr>
      </w:pPr>
      <w:r>
        <w:rPr>
          <w:rFonts w:ascii="华文楷体" w:hAnsi="华文楷体" w:eastAsia="华文楷体" w:cs="华文楷体"/>
          <w:sz w:val="32"/>
          <w:szCs w:val="32"/>
          <w:u w:val="single"/>
        </w:rPr>
      </w:r>
      <w:r/>
    </w:p>
    <w:p>
      <w:pPr>
        <w:jc w:val="center"/>
        <w:spacing w:after="160" w:line="278" w:lineRule="auto"/>
        <w:rPr>
          <w:rFonts w:ascii="Times New Roman" w:hAnsi="Times New Roman" w:eastAsia="黑体"/>
          <w:sz w:val="44"/>
          <w:szCs w:val="44"/>
        </w:rPr>
      </w:pPr>
      <w:r>
        <w:rPr>
          <w:rFonts w:hint="eastAsia" w:ascii="Times New Roman" w:hAnsi="Times New Roman" w:eastAsia="黑体"/>
          <w:sz w:val="44"/>
          <w:szCs w:val="44"/>
        </w:rPr>
        <w:t xml:space="preserve">使 用 说 明</w:t>
      </w:r>
      <w:r/>
    </w:p>
    <w:p>
      <w:pPr>
        <w:ind w:firstLine="640"/>
        <w:spacing w:after="160" w:line="278" w:lineRule="auto"/>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spacing w:after="160" w:line="278"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spacing w:after="160" w:line="278" w:lineRule="auto"/>
        <w:rPr>
          <w:rFonts w:ascii="Times New Roman" w:hAnsi="Times New Roman"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spacing w:after="160" w:line="278" w:lineRule="auto"/>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406" w:bottom="1440" w:left="1406" w:header="851" w:footer="992" w:gutter="0"/>
          <w:cols w:num="1" w:sep="0" w:space="425" w:equalWidth="1"/>
          <w:docGrid w:linePitch="360"/>
        </w:sectPr>
      </w:pPr>
      <w:r>
        <w:rPr>
          <w:rFonts w:eastAsia="黑体"/>
          <w:sz w:val="44"/>
          <w:szCs w:val="44"/>
        </w:rPr>
      </w:r>
      <w:r/>
    </w:p>
    <w:p>
      <w:pPr>
        <w:numPr>
          <w:ilvl w:val="1"/>
          <w:numId w:val="30"/>
        </w:numPr>
        <w:jc w:val="center"/>
        <w:spacing w:before="156" w:after="156" w:line="400" w:lineRule="exact"/>
        <w:rPr>
          <w:rFonts w:ascii="黑体" w:hAnsi="华文中宋" w:eastAsia="黑体"/>
          <w:sz w:val="28"/>
          <w:szCs w:val="28"/>
        </w:rPr>
        <w:outlineLvl w:val="1"/>
      </w:pPr>
      <w:r/>
      <w:bookmarkStart w:id="1"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
      <w:r/>
      <w:r/>
    </w:p>
    <w:p>
      <w:pPr>
        <w:numPr>
          <w:ilvl w:val="1"/>
          <w:numId w:val="30"/>
        </w:numPr>
        <w:jc w:val="center"/>
        <w:spacing w:before="156" w:after="156" w:line="400" w:lineRule="exact"/>
        <w:rPr>
          <w:rFonts w:ascii="黑体" w:hAnsi="华文中宋" w:eastAsia="黑体"/>
          <w:sz w:val="28"/>
          <w:szCs w:val="28"/>
        </w:rPr>
        <w:outlineLvl w:val="1"/>
      </w:pPr>
      <w:r>
        <w:rPr>
          <w:rFonts w:ascii="黑体" w:hAnsi="华文中宋" w:eastAsia="黑体"/>
          <w:sz w:val="28"/>
          <w:szCs w:val="28"/>
        </w:rPr>
      </w:r>
      <w:r/>
    </w:p>
    <w:p>
      <w:pPr>
        <w:spacing w:after="160" w:line="400" w:lineRule="exact"/>
        <w:rPr>
          <w:rFonts w:ascii="宋体" w:hAnsi="宋体"/>
          <w:szCs w:val="21"/>
        </w:rPr>
      </w:pPr>
      <w:r>
        <w:rPr>
          <w:rFonts w:hint="eastAsia" w:ascii="宋体" w:hAnsi="宋体"/>
          <w:szCs w:val="21"/>
        </w:rPr>
        <w:t xml:space="preserve">甲方（全称）：（采购人、受采购人委托签订合同的单位或采购</w:t>
      </w:r>
      <w:r>
        <w:rPr>
          <w:rFonts w:hint="eastAsia" w:ascii="宋体" w:hAnsi="宋体"/>
          <w:szCs w:val="21"/>
        </w:rPr>
        <w:tab/>
      </w:r>
      <w:r>
        <w:rPr>
          <w:rFonts w:hint="eastAsia" w:ascii="宋体" w:hAnsi="宋体"/>
          <w:szCs w:val="21"/>
        </w:rPr>
        <w:t xml:space="preserve">                                   文件约定的合同甲方）</w:t>
      </w:r>
      <w:r/>
    </w:p>
    <w:p>
      <w:pPr>
        <w:spacing w:after="160" w:line="400" w:lineRule="exact"/>
        <w:rPr>
          <w:rFonts w:ascii="宋体" w:hAnsi="宋体"/>
          <w:szCs w:val="21"/>
        </w:rPr>
      </w:pPr>
      <w:r>
        <w:rPr>
          <w:rFonts w:hint="eastAsia" w:ascii="宋体" w:hAnsi="宋体"/>
          <w:szCs w:val="21"/>
        </w:rPr>
        <w:t xml:space="preserve">乙方1（全称）：（供应商）</w:t>
      </w:r>
      <w:r/>
    </w:p>
    <w:p>
      <w:pPr>
        <w:spacing w:after="160" w:line="400" w:lineRule="exact"/>
        <w:rPr>
          <w:rFonts w:ascii="宋体" w:hAnsi="宋体"/>
          <w:szCs w:val="21"/>
        </w:rPr>
      </w:pPr>
      <w:r>
        <w:rPr>
          <w:rFonts w:hint="eastAsia" w:ascii="宋体" w:hAnsi="宋体"/>
          <w:szCs w:val="21"/>
        </w:rPr>
        <w:t xml:space="preserve">乙方2（全称）：（联合体成员供应商或其他合同主体）（如有）</w:t>
      </w:r>
      <w:r/>
    </w:p>
    <w:p>
      <w:pPr>
        <w:spacing w:after="160" w:line="400" w:lineRule="exact"/>
        <w:rPr>
          <w:rFonts w:ascii="宋体" w:hAnsi="宋体"/>
          <w:szCs w:val="21"/>
        </w:rPr>
      </w:pPr>
      <w:r>
        <w:rPr>
          <w:rFonts w:hint="eastAsia" w:ascii="Times New Roman" w:hAnsi="Times New Roman"/>
        </w:rPr>
        <w:t xml:space="preserve">乙方</w:t>
      </w:r>
      <w:r>
        <w:rPr>
          <w:rFonts w:hint="eastAsia" w:ascii="宋体" w:hAnsi="宋体"/>
          <w:szCs w:val="21"/>
        </w:rPr>
        <w:t xml:space="preserve">3</w:t>
      </w:r>
      <w:r>
        <w:rPr>
          <w:rFonts w:hint="eastAsia" w:ascii="Times New Roman" w:hAnsi="Times New Roman"/>
        </w:rPr>
        <w:t xml:space="preserve">（全称）</w:t>
      </w:r>
      <w:r>
        <w:rPr>
          <w:rFonts w:hint="eastAsia" w:ascii="宋体" w:hAnsi="宋体"/>
          <w:szCs w:val="21"/>
        </w:rPr>
        <w:t xml:space="preserve">（联合体成员供应商或其他合同主体）（如有）</w:t>
      </w:r>
      <w:r/>
    </w:p>
    <w:p>
      <w:pPr>
        <w:spacing w:after="160" w:line="400" w:lineRule="exact"/>
        <w:rPr>
          <w:rFonts w:ascii="Times New Roman" w:hAnsi="Times New Roman"/>
        </w:rPr>
      </w:pPr>
      <w:r>
        <w:rPr>
          <w:rFonts w:ascii="Times New Roman" w:hAnsi="Times New Roman"/>
        </w:rPr>
      </w:r>
      <w:r/>
    </w:p>
    <w:p>
      <w:pPr>
        <w:ind w:firstLine="420"/>
        <w:spacing w:after="160" w:line="400" w:lineRule="exact"/>
        <w:rPr>
          <w:rFonts w:ascii="宋体" w:hAnsi="宋体"/>
          <w:sz w:val="24"/>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31"/>
        </w:numPr>
        <w:ind w:firstLine="422"/>
        <w:spacing w:after="160" w:line="400" w:lineRule="exact"/>
        <w:rPr>
          <w:rFonts w:ascii="宋体" w:hAnsi="宋体"/>
          <w:b/>
          <w:szCs w:val="21"/>
        </w:rPr>
      </w:pPr>
      <w:r>
        <w:rPr>
          <w:rFonts w:hint="eastAsia" w:ascii="宋体" w:hAnsi="宋体"/>
          <w:b/>
          <w:szCs w:val="21"/>
        </w:rPr>
        <w:t xml:space="preserve">项目信息</w:t>
      </w:r>
      <w:r/>
    </w:p>
    <w:p>
      <w:pPr>
        <w:numPr>
          <w:ilvl w:val="0"/>
          <w:numId w:val="32"/>
        </w:numPr>
        <w:ind w:firstLine="420"/>
        <w:spacing w:after="160" w:line="400" w:lineRule="exact"/>
        <w:rPr>
          <w:rFonts w:ascii="宋体" w:hAnsi="宋体"/>
          <w:szCs w:val="21"/>
          <w:u w:val="single"/>
        </w:rPr>
      </w:pPr>
      <w:r>
        <w:rPr>
          <w:rFonts w:hint="eastAsia" w:ascii="宋体" w:hAnsi="宋体"/>
          <w:szCs w:val="21"/>
        </w:rPr>
        <w:t xml:space="preserve">采购项目名称：</w:t>
      </w:r>
      <w:r/>
    </w:p>
    <w:p>
      <w:pPr>
        <w:numPr>
          <w:ilvl w:val="255"/>
          <w:numId w:val="0"/>
        </w:numPr>
        <w:ind w:firstLine="425"/>
        <w:spacing w:after="160" w:line="400" w:lineRule="exact"/>
        <w:tabs>
          <w:tab w:val="left" w:pos="999" w:leader="none"/>
        </w:tabs>
        <w:rPr>
          <w:rFonts w:ascii="宋体" w:hAnsi="宋体"/>
          <w:szCs w:val="21"/>
        </w:rPr>
      </w:pPr>
      <w:r>
        <w:rPr>
          <w:rFonts w:hint="eastAsia" w:ascii="宋体" w:hAnsi="宋体"/>
          <w:szCs w:val="21"/>
        </w:rPr>
        <w:t xml:space="preserve">         采购项目编号：</w:t>
      </w:r>
      <w:r/>
    </w:p>
    <w:p>
      <w:pPr>
        <w:ind w:firstLine="420"/>
        <w:spacing w:after="160" w:line="400" w:lineRule="exact"/>
        <w:rPr>
          <w:rFonts w:ascii="宋体" w:hAnsi="宋体"/>
          <w:szCs w:val="21"/>
        </w:rPr>
      </w:pPr>
      <w:r>
        <w:rPr>
          <w:rFonts w:hint="eastAsia" w:ascii="宋体" w:hAnsi="宋体"/>
          <w:szCs w:val="21"/>
        </w:rPr>
        <w:t xml:space="preserve">（2）采购计划编号：</w:t>
      </w:r>
      <w:r/>
    </w:p>
    <w:p>
      <w:pPr>
        <w:ind w:firstLine="420"/>
        <w:spacing w:after="160" w:line="400" w:lineRule="exact"/>
        <w:rPr>
          <w:rFonts w:ascii="宋体" w:hAnsi="宋体"/>
          <w:szCs w:val="21"/>
        </w:rPr>
      </w:pPr>
      <w:r>
        <w:rPr>
          <w:rFonts w:hint="eastAsia" w:ascii="宋体" w:hAnsi="宋体"/>
          <w:szCs w:val="21"/>
        </w:rPr>
        <w:t xml:space="preserve">（3）项目内容：</w:t>
      </w:r>
      <w:r/>
    </w:p>
    <w:p>
      <w:pPr>
        <w:ind w:firstLine="420"/>
        <w:spacing w:after="160" w:line="400" w:lineRule="exact"/>
        <w:rPr>
          <w:rFonts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numPr>
          <w:ilvl w:val="255"/>
          <w:numId w:val="0"/>
        </w:numPr>
        <w:ind w:firstLine="420"/>
        <w:spacing w:after="160" w:line="400" w:lineRule="exact"/>
        <w:rPr>
          <w:rFonts w:ascii="宋体" w:hAnsi="宋体" w:cs="宋体"/>
          <w:szCs w:val="21"/>
        </w:rPr>
      </w:pPr>
      <w:r>
        <w:rPr>
          <w:rFonts w:hint="eastAsia" w:ascii="宋体" w:hAnsi="宋体" w:cs="宋体"/>
          <w:szCs w:val="21"/>
        </w:rPr>
        <w:t xml:space="preserve">品牌：规格型号：</w:t>
      </w:r>
      <w:r/>
    </w:p>
    <w:p>
      <w:pPr>
        <w:ind w:firstLine="945"/>
        <w:spacing w:after="160" w:line="400" w:lineRule="exact"/>
        <w:rPr>
          <w:rFonts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after="160"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after="160" w:line="400" w:lineRule="exact"/>
        <w:rPr>
          <w:rFonts w:ascii="宋体" w:hAnsi="宋体" w:cs="宋体"/>
          <w:szCs w:val="21"/>
          <w:u w:val="single"/>
        </w:rPr>
      </w:pPr>
      <w:r>
        <w:rPr>
          <w:rFonts w:hint="eastAsia" w:ascii="宋体" w:hAnsi="宋体" w:cs="宋体"/>
          <w:szCs w:val="21"/>
        </w:rPr>
        <w:t xml:space="preserve">     标的名称：</w:t>
      </w:r>
      <w:r/>
    </w:p>
    <w:p>
      <w:pPr>
        <w:numPr>
          <w:ilvl w:val="255"/>
          <w:numId w:val="0"/>
        </w:numPr>
        <w:ind w:firstLine="420"/>
        <w:spacing w:after="160" w:line="400" w:lineRule="exact"/>
        <w:rPr>
          <w:rFonts w:ascii="宋体" w:hAnsi="宋体" w:cs="宋体"/>
          <w:szCs w:val="21"/>
        </w:rPr>
      </w:pPr>
      <w:r>
        <w:rPr>
          <w:rFonts w:hint="eastAsia" w:ascii="宋体" w:hAnsi="宋体" w:cs="宋体"/>
          <w:szCs w:val="21"/>
        </w:rPr>
        <w:t xml:space="preserve">     关键部件：品牌： 型号：</w:t>
      </w:r>
      <w:r/>
    </w:p>
    <w:p>
      <w:pPr>
        <w:ind w:firstLine="420"/>
        <w:spacing w:after="160" w:line="400" w:lineRule="exact"/>
        <w:rPr>
          <w:rFonts w:ascii="宋体" w:hAnsi="宋体" w:cs="宋体"/>
          <w:szCs w:val="21"/>
        </w:rPr>
      </w:pPr>
      <w:r>
        <w:rPr>
          <w:rFonts w:hint="eastAsia" w:ascii="宋体" w:hAnsi="宋体" w:cs="宋体"/>
          <w:szCs w:val="21"/>
        </w:rPr>
        <w:t xml:space="preserve">关键部件： 品牌： 型号：</w:t>
      </w:r>
      <w:r/>
    </w:p>
    <w:p>
      <w:pPr>
        <w:ind w:firstLine="420"/>
        <w:spacing w:after="160" w:line="400" w:lineRule="exact"/>
        <w:rPr>
          <w:rFonts w:ascii="宋体" w:hAnsi="宋体" w:cs="宋体"/>
          <w:szCs w:val="21"/>
        </w:rPr>
      </w:pPr>
      <w:r>
        <w:rPr>
          <w:rFonts w:hint="eastAsia" w:ascii="宋体" w:hAnsi="宋体" w:cs="宋体"/>
          <w:szCs w:val="21"/>
        </w:rPr>
        <w:t xml:space="preserve">     关键部件： 品牌： 型号：</w:t>
      </w:r>
      <w:r/>
    </w:p>
    <w:p>
      <w:pPr>
        <w:numPr>
          <w:ilvl w:val="255"/>
          <w:numId w:val="0"/>
        </w:numPr>
        <w:ind w:firstLine="440"/>
        <w:spacing w:after="160" w:line="400" w:lineRule="exact"/>
        <w:rPr>
          <w:rFonts w:ascii="宋体" w:hAnsi="宋体" w:cs="宋体"/>
          <w:szCs w:val="21"/>
        </w:rPr>
      </w:pPr>
      <w:r>
        <w:rPr>
          <w:rFonts w:hint="eastAsia" w:ascii="宋体" w:hAnsi="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40"/>
        <w:spacing w:after="160" w:line="400" w:lineRule="exact"/>
        <w:rPr>
          <w:rFonts w:ascii="宋体" w:hAnsi="宋体" w:cs="宋体"/>
          <w:szCs w:val="21"/>
        </w:rPr>
      </w:pPr>
      <w:r>
        <w:rPr>
          <w:rFonts w:hint="eastAsia" w:ascii="宋体" w:hAnsi="宋体" w:cs="宋体"/>
          <w:szCs w:val="21"/>
        </w:rPr>
        <w:t xml:space="preserve">②涉及车辆采购，请填写是否属于新能源汽车：</w:t>
      </w:r>
      <w:r/>
    </w:p>
    <w:p>
      <w:pPr>
        <w:numPr>
          <w:ilvl w:val="255"/>
          <w:numId w:val="0"/>
        </w:numPr>
        <w:ind w:firstLine="440"/>
        <w:spacing w:after="160" w:line="400" w:lineRule="exact"/>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数量： 金额：</w:t>
      </w:r>
      <w:r/>
    </w:p>
    <w:p>
      <w:pPr>
        <w:numPr>
          <w:ilvl w:val="255"/>
          <w:numId w:val="0"/>
        </w:numPr>
        <w:ind w:firstLine="440"/>
        <w:spacing w:after="160" w:line="400" w:lineRule="exact"/>
        <w:rPr>
          <w:rFonts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否</w:t>
      </w:r>
      <w:r/>
    </w:p>
    <w:p>
      <w:pPr>
        <w:numPr>
          <w:ilvl w:val="255"/>
          <w:numId w:val="0"/>
        </w:numPr>
        <w:ind w:firstLine="440"/>
        <w:spacing w:after="160" w:line="400" w:lineRule="exact"/>
        <w:rPr>
          <w:rFonts w:ascii="宋体" w:hAnsi="宋体" w:cs="宋体"/>
          <w:szCs w:val="21"/>
        </w:rPr>
      </w:pPr>
      <w:r>
        <w:rPr>
          <w:rFonts w:hint="eastAsia" w:ascii="宋体" w:hAnsi="宋体" w:cs="宋体"/>
          <w:szCs w:val="21"/>
        </w:rPr>
        <w:t xml:space="preserve">    （4）政府采购组织形式：</w:t>
      </w:r>
      <w:r>
        <w:rPr>
          <w:rFonts w:ascii="Wingdings" w:hAnsi="Wingdings" w:eastAsia="Wingdings" w:cs="Wingdings"/>
          <w:szCs w:val="21"/>
        </w:rPr>
        <w:t xml:space="preserve"></w:t>
      </w:r>
      <w:r>
        <w:rPr>
          <w:rFonts w:hint="eastAsia" w:ascii="宋体" w:hAnsi="宋体" w:cs="宋体"/>
          <w:szCs w:val="21"/>
        </w:rPr>
        <w:t xml:space="preserve">政府集中采购  </w:t>
      </w:r>
      <w:r>
        <w:rPr>
          <w:rFonts w:ascii="Wingdings" w:hAnsi="Wingdings" w:eastAsia="Wingdings" w:cs="Wingdings"/>
          <w:szCs w:val="21"/>
        </w:rPr>
        <w:t xml:space="preserve"></w:t>
      </w:r>
      <w:r>
        <w:rPr>
          <w:rFonts w:hint="eastAsia" w:ascii="宋体" w:hAnsi="宋体" w:cs="宋体"/>
          <w:szCs w:val="21"/>
        </w:rPr>
        <w:t xml:space="preserve">部门集中采购  </w:t>
      </w:r>
      <w:r>
        <w:rPr>
          <w:rFonts w:ascii="Wingdings" w:hAnsi="Wingdings" w:eastAsia="Wingdings" w:cs="Wingdings"/>
          <w:szCs w:val="21"/>
        </w:rPr>
        <w:t xml:space="preserve"></w:t>
      </w:r>
      <w:r>
        <w:rPr>
          <w:rFonts w:hint="eastAsia" w:ascii="宋体" w:hAnsi="宋体" w:cs="宋体"/>
          <w:szCs w:val="21"/>
        </w:rPr>
        <w:t xml:space="preserve">分散采购</w:t>
      </w:r>
      <w:r/>
    </w:p>
    <w:p>
      <w:pPr>
        <w:numPr>
          <w:ilvl w:val="255"/>
          <w:numId w:val="0"/>
        </w:numPr>
        <w:ind w:firstLine="420"/>
        <w:spacing w:after="160" w:line="400" w:lineRule="exact"/>
        <w:rPr>
          <w:rFonts w:ascii="宋体" w:hAnsi="宋体" w:cs="宋体"/>
          <w:szCs w:val="21"/>
        </w:rPr>
      </w:pPr>
      <w:r>
        <w:rPr>
          <w:rFonts w:hint="eastAsia" w:ascii="宋体" w:hAnsi="宋体" w:cs="宋体"/>
          <w:szCs w:val="21"/>
        </w:rPr>
        <w:t xml:space="preserve">（5）政府采购方式：</w:t>
      </w:r>
      <w:r>
        <w:rPr>
          <w:rFonts w:ascii="Wingdings" w:hAnsi="Wingdings" w:eastAsia="Wingdings" w:cs="Wingdings"/>
          <w:szCs w:val="21"/>
        </w:rPr>
        <w:t xml:space="preserve"></w:t>
      </w:r>
      <w:r>
        <w:rPr>
          <w:rFonts w:hint="eastAsia" w:ascii="宋体" w:hAnsi="宋体" w:cs="宋体"/>
          <w:szCs w:val="21"/>
        </w:rPr>
        <w:t xml:space="preserve">公开招标 </w:t>
      </w:r>
      <w:r>
        <w:rPr>
          <w:rFonts w:ascii="Wingdings" w:hAnsi="Wingdings" w:eastAsia="Wingdings" w:cs="Wingdings"/>
          <w:szCs w:val="21"/>
        </w:rPr>
        <w:t xml:space="preserve"></w:t>
      </w:r>
      <w:r>
        <w:rPr>
          <w:rFonts w:hint="eastAsia" w:ascii="宋体" w:hAnsi="宋体" w:cs="宋体"/>
          <w:szCs w:val="21"/>
        </w:rPr>
        <w:t xml:space="preserve">邀请招标 </w:t>
      </w:r>
      <w:r>
        <w:rPr>
          <w:rFonts w:ascii="Wingdings" w:hAnsi="Wingdings" w:eastAsia="Wingdings" w:cs="Wingdings"/>
          <w:szCs w:val="21"/>
        </w:rPr>
        <w:t xml:space="preserve"></w:t>
      </w:r>
      <w:r>
        <w:rPr>
          <w:rFonts w:hint="eastAsia" w:ascii="宋体" w:hAnsi="宋体" w:cs="宋体"/>
          <w:szCs w:val="21"/>
        </w:rPr>
        <w:t xml:space="preserve">竞争性谈判 </w:t>
      </w:r>
      <w:r>
        <w:rPr>
          <w:rFonts w:ascii="Wingdings" w:hAnsi="Wingdings" w:eastAsia="Wingdings" w:cs="Wingdings"/>
          <w:szCs w:val="21"/>
        </w:rPr>
        <w:t xml:space="preserve"></w:t>
      </w:r>
      <w:r>
        <w:rPr>
          <w:rFonts w:hint="eastAsia" w:ascii="宋体" w:hAnsi="宋体" w:cs="宋体"/>
          <w:szCs w:val="21"/>
        </w:rPr>
        <w:t xml:space="preserve">竞争性磋商</w:t>
      </w:r>
      <w:r/>
    </w:p>
    <w:p>
      <w:pPr>
        <w:numPr>
          <w:ilvl w:val="255"/>
          <w:numId w:val="0"/>
        </w:numPr>
        <w:ind w:firstLine="420"/>
        <w:spacing w:after="160" w:line="400" w:lineRule="exact"/>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询价 </w:t>
      </w:r>
      <w:r>
        <w:rPr>
          <w:rFonts w:ascii="Wingdings" w:hAnsi="Wingdings" w:eastAsia="Wingdings" w:cs="Wingdings"/>
          <w:szCs w:val="21"/>
        </w:rPr>
        <w:t xml:space="preserve"></w:t>
      </w:r>
      <w:r>
        <w:rPr>
          <w:rFonts w:hint="eastAsia" w:ascii="宋体" w:hAnsi="宋体" w:cs="宋体"/>
          <w:szCs w:val="21"/>
        </w:rPr>
        <w:t xml:space="preserve">单一来源 </w:t>
      </w:r>
      <w:r>
        <w:rPr>
          <w:rFonts w:ascii="Wingdings" w:hAnsi="Wingdings" w:eastAsia="Wingdings" w:cs="Wingdings"/>
          <w:szCs w:val="21"/>
        </w:rPr>
        <w:t xml:space="preserve"></w:t>
      </w:r>
      <w:r>
        <w:rPr>
          <w:rFonts w:hint="eastAsia" w:ascii="宋体" w:hAnsi="宋体" w:cs="宋体"/>
          <w:szCs w:val="21"/>
        </w:rPr>
        <w:t xml:space="preserve">框架协议 </w:t>
      </w:r>
      <w:r>
        <w:rPr>
          <w:rFonts w:ascii="Wingdings" w:hAnsi="Wingdings" w:eastAsia="Wingdings" w:cs="Wingdings"/>
          <w:szCs w:val="21"/>
        </w:rPr>
        <w:t xml:space="preserve"></w:t>
      </w:r>
      <w:r>
        <w:rPr>
          <w:rFonts w:hint="eastAsia" w:ascii="宋体" w:hAnsi="宋体" w:cs="宋体"/>
          <w:szCs w:val="21"/>
        </w:rPr>
        <w:t xml:space="preserve">其他：</w:t>
      </w:r>
      <w:r/>
    </w:p>
    <w:p>
      <w:pPr>
        <w:numPr>
          <w:ilvl w:val="255"/>
          <w:numId w:val="0"/>
        </w:numPr>
        <w:ind w:firstLine="420"/>
        <w:spacing w:after="160" w:line="400" w:lineRule="exact"/>
        <w:rPr>
          <w:rFonts w:ascii="宋体" w:hAnsi="宋体" w:cs="宋体"/>
          <w:szCs w:val="21"/>
        </w:rPr>
      </w:pPr>
      <w:r>
        <w:rPr>
          <w:rFonts w:hint="eastAsia" w:ascii="宋体" w:hAnsi="宋体" w:cs="宋体"/>
          <w:szCs w:val="21"/>
        </w:rPr>
        <w:t xml:space="preserve">（注：在框架协议采购的第二阶段，可选择使用该合同文本）</w:t>
      </w:r>
      <w:r/>
    </w:p>
    <w:p>
      <w:pPr>
        <w:numPr>
          <w:ilvl w:val="255"/>
          <w:numId w:val="0"/>
        </w:numPr>
        <w:ind w:firstLine="220"/>
        <w:spacing w:after="160" w:line="400" w:lineRule="exact"/>
        <w:rPr>
          <w:rFonts w:ascii="宋体" w:hAnsi="宋体"/>
          <w:szCs w:val="21"/>
        </w:rPr>
      </w:pPr>
      <w:r>
        <w:rPr>
          <w:rFonts w:hint="eastAsia" w:ascii="宋体" w:hAnsi="宋体" w:eastAsia="华文楷体" w:cs="华文楷体"/>
          <w:szCs w:val="21"/>
        </w:rPr>
        <w:t xml:space="preserve"> （</w:t>
      </w:r>
      <w:r>
        <w:rPr>
          <w:rFonts w:ascii="宋体" w:hAnsi="宋体" w:eastAsia="华文楷体" w:cs="华文楷体"/>
          <w:szCs w:val="21"/>
        </w:rPr>
        <w:t xml:space="preserve">6</w:t>
      </w:r>
      <w:r>
        <w:rPr>
          <w:rFonts w:hint="eastAsia" w:ascii="宋体" w:hAnsi="宋体" w:eastAsia="华文楷体" w:cs="华文楷体"/>
          <w:szCs w:val="21"/>
        </w:rPr>
        <w:t xml:space="preserve">）</w:t>
      </w:r>
      <w:r>
        <w:rPr>
          <w:rFonts w:hint="eastAsia" w:ascii="宋体" w:hAnsi="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after="160" w:line="400" w:lineRule="exact"/>
        <w:rPr>
          <w:rFonts w:ascii="宋体" w:hAnsi="宋体"/>
          <w:iCs/>
          <w:szCs w:val="21"/>
        </w:rPr>
      </w:pPr>
      <w:r>
        <w:rPr>
          <w:rFonts w:hint="eastAsia" w:ascii="Times New Roman" w:hAnsi="Times New Roma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after="160" w:line="400" w:lineRule="exact"/>
        <w:rPr>
          <w:rFonts w:ascii="宋体" w:hAnsi="宋体"/>
          <w:iCs/>
          <w:szCs w:val="21"/>
        </w:rPr>
      </w:pPr>
      <w:r>
        <w:rPr>
          <w:rFonts w:hint="eastAsia" w:ascii="Times New Roman" w:hAnsi="Times New Roma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after="160" w:line="400" w:lineRule="exact"/>
        <w:rPr>
          <w:rFonts w:ascii="Times New Roman" w:hAnsi="Times New Roman"/>
        </w:rPr>
      </w:pPr>
      <w:r>
        <w:rPr>
          <w:rFonts w:hint="eastAsia" w:ascii="Times New Roman" w:hAnsi="Times New Roma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after="160"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after="160" w:line="400" w:lineRule="exact"/>
        <w:rPr>
          <w:rFonts w:ascii="宋体" w:hAnsi="宋体"/>
          <w:szCs w:val="21"/>
          <w:u w:val="single"/>
        </w:rPr>
      </w:pPr>
      <w:r>
        <w:rPr>
          <w:rFonts w:hint="eastAsia" w:ascii="宋体" w:hAnsi="宋体"/>
          <w:szCs w:val="21"/>
        </w:rPr>
        <w:t xml:space="preserve"> 分包主要内容：</w:t>
      </w:r>
      <w:r/>
    </w:p>
    <w:p>
      <w:pPr>
        <w:ind w:firstLine="840"/>
        <w:spacing w:after="160"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after="160" w:line="400" w:lineRule="exact"/>
        <w:rPr>
          <w:rFonts w:ascii="宋体" w:hAnsi="宋体"/>
          <w:szCs w:val="21"/>
          <w:u w:val="single"/>
        </w:rPr>
      </w:pPr>
      <w:r>
        <w:rPr>
          <w:rFonts w:ascii="宋体" w:hAnsi="宋体"/>
          <w:szCs w:val="21"/>
          <w:u w:val="single"/>
        </w:rPr>
      </w:r>
      <w:r/>
    </w:p>
    <w:p>
      <w:pPr>
        <w:ind w:firstLine="840"/>
        <w:spacing w:after="160"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after="160"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after="160" w:line="400" w:lineRule="exact"/>
        <w:rPr>
          <w:rFonts w:ascii="Times New Roman" w:hAnsi="Times New Roman"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after="160"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ind w:firstLine="420"/>
        <w:spacing w:after="160" w:line="400" w:lineRule="exact"/>
        <w:tabs>
          <w:tab w:val="left" w:pos="1340" w:leader="none"/>
        </w:tabs>
        <w:rPr>
          <w:rFonts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 xml:space="preserve"></w:t>
      </w:r>
      <w:r>
        <w:rPr>
          <w:rFonts w:hint="eastAsia" w:ascii="宋体" w:hAnsi="宋体" w:cs="宋体"/>
          <w:szCs w:val="21"/>
        </w:rPr>
        <w:t xml:space="preserve">全部由外国投资者投资  </w:t>
      </w:r>
      <w:r>
        <w:rPr>
          <w:rFonts w:ascii="Wingdings" w:hAnsi="Wingdings" w:eastAsia="Wingdings" w:cs="Wingdings"/>
          <w:iCs/>
          <w:szCs w:val="21"/>
        </w:rPr>
        <w:t xml:space="preserve"></w:t>
      </w:r>
      <w:r>
        <w:rPr>
          <w:rFonts w:hint="eastAsia" w:ascii="宋体" w:hAnsi="宋体" w:cs="宋体"/>
          <w:iCs/>
          <w:szCs w:val="21"/>
        </w:rPr>
        <w:t xml:space="preserve">部分由外国投资者投资</w:t>
      </w:r>
      <w:r/>
    </w:p>
    <w:p>
      <w:pPr>
        <w:numPr>
          <w:ilvl w:val="255"/>
          <w:numId w:val="0"/>
        </w:numPr>
        <w:ind w:firstLine="420"/>
        <w:spacing w:after="160"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numPr>
          <w:ilvl w:val="255"/>
          <w:numId w:val="0"/>
        </w:numPr>
        <w:ind w:firstLine="840"/>
        <w:spacing w:after="160" w:line="400" w:lineRule="exact"/>
        <w:rPr>
          <w:rFonts w:ascii="宋体" w:hAnsi="宋体" w:cs="宋体"/>
          <w:szCs w:val="21"/>
          <w:u w:val="single"/>
        </w:rPr>
      </w:pPr>
      <w:r>
        <w:rPr>
          <w:rFonts w:ascii="Wingdings" w:hAnsi="Wingdings" w:eastAsia="Wingdings" w:cs="Wingdings"/>
          <w:szCs w:val="21"/>
        </w:rPr>
        <w:t xml:space="preserve"></w:t>
      </w:r>
      <w:r>
        <w:rPr>
          <w:rFonts w:hint="eastAsia" w:ascii="宋体" w:hAnsi="宋体" w:cs="宋体"/>
          <w:szCs w:val="21"/>
        </w:rPr>
        <w:t xml:space="preserve">是，《政府采购品目分类目录》底级品目名称： 金额：</w:t>
      </w:r>
      <w:r/>
    </w:p>
    <w:p>
      <w:pPr>
        <w:numPr>
          <w:ilvl w:val="255"/>
          <w:numId w:val="0"/>
        </w:numPr>
        <w:ind w:firstLine="840"/>
        <w:spacing w:after="160" w:line="400" w:lineRule="exact"/>
        <w:rPr>
          <w:rFonts w:ascii="宋体" w:hAnsi="宋体"/>
          <w:szCs w:val="21"/>
        </w:rPr>
      </w:pPr>
      <w:r>
        <w:rPr>
          <w:rFonts w:hint="eastAsia" w:ascii="宋体" w:hAnsi="宋体" w:cs="宋体"/>
          <w:szCs w:val="21"/>
        </w:rPr>
        <w:t xml:space="preserve">        国别： 品牌： 规格型号：</w:t>
      </w:r>
      <w:r/>
    </w:p>
    <w:p>
      <w:pPr>
        <w:ind w:firstLine="840"/>
        <w:spacing w:after="16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numPr>
          <w:ilvl w:val="255"/>
          <w:numId w:val="0"/>
        </w:numPr>
        <w:spacing w:after="160" w:line="400" w:lineRule="exact"/>
        <w:tabs>
          <w:tab w:val="left" w:pos="740" w:leader="none"/>
        </w:tabs>
        <w:rPr>
          <w:rFonts w:ascii="宋体" w:hAnsi="宋体"/>
          <w:iCs/>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numPr>
          <w:ilvl w:val="255"/>
          <w:numId w:val="0"/>
        </w:numPr>
        <w:spacing w:after="160"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after="160"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after="160"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numPr>
          <w:ilvl w:val="255"/>
          <w:numId w:val="0"/>
        </w:numPr>
        <w:spacing w:after="160"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after="160"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ind w:firstLine="440"/>
        <w:spacing w:after="160" w:line="400" w:lineRule="exact"/>
        <w:rPr>
          <w:rFonts w:ascii="宋体" w:hAnsi="宋体"/>
          <w:szCs w:val="21"/>
        </w:rPr>
      </w:pPr>
      <w:r>
        <w:rPr>
          <w:rFonts w:hint="eastAsia" w:ascii="宋体" w:hAnsi="宋体"/>
          <w:szCs w:val="21"/>
        </w:rPr>
        <w:t xml:space="preserve">是否涉及绿色产品： </w:t>
      </w:r>
      <w:r/>
    </w:p>
    <w:p>
      <w:pPr>
        <w:ind w:firstLine="420"/>
        <w:spacing w:after="160" w:line="400" w:lineRule="exact"/>
        <w:rPr>
          <w:rFonts w:ascii="宋体" w:hAnsi="宋体" w:cs="华文楷体"/>
          <w:szCs w:val="21"/>
          <w:u w:val="single"/>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numPr>
          <w:ilvl w:val="255"/>
          <w:numId w:val="0"/>
        </w:numPr>
        <w:spacing w:after="160"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ind w:firstLine="420"/>
        <w:spacing w:after="160" w:line="400" w:lineRule="exact"/>
        <w:rPr>
          <w:rFonts w:ascii="宋体" w:hAnsi="宋体" w:eastAsia="华文楷体" w:cs="华文楷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after="160"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after="16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1"/>
        </w:numPr>
        <w:ind w:firstLine="422"/>
        <w:spacing w:after="160" w:line="400" w:lineRule="exact"/>
        <w:rPr>
          <w:rFonts w:ascii="宋体" w:hAnsi="宋体"/>
          <w:b/>
          <w:szCs w:val="21"/>
        </w:rPr>
      </w:pPr>
      <w:r>
        <w:rPr>
          <w:rFonts w:hint="eastAsia" w:ascii="宋体" w:hAnsi="宋体"/>
          <w:b/>
          <w:szCs w:val="21"/>
        </w:rPr>
        <w:t xml:space="preserve">合同金额</w:t>
      </w:r>
      <w:r/>
    </w:p>
    <w:p>
      <w:pPr>
        <w:ind w:firstLine="420"/>
        <w:spacing w:after="160" w:line="400" w:lineRule="exact"/>
        <w:rPr>
          <w:rFonts w:ascii="宋体" w:hAnsi="宋体"/>
          <w:szCs w:val="21"/>
        </w:rPr>
      </w:pPr>
      <w:r>
        <w:rPr>
          <w:rFonts w:hint="eastAsia" w:ascii="宋体" w:hAnsi="宋体"/>
          <w:szCs w:val="21"/>
        </w:rPr>
        <w:t xml:space="preserve">（1）合同金额小写：</w:t>
      </w:r>
      <w:r/>
    </w:p>
    <w:p>
      <w:pPr>
        <w:spacing w:after="160" w:line="400" w:lineRule="exact"/>
        <w:rPr>
          <w:rFonts w:ascii="宋体" w:hAnsi="宋体"/>
          <w:szCs w:val="21"/>
          <w:u w:val="single"/>
        </w:rPr>
      </w:pPr>
      <w:r>
        <w:rPr>
          <w:rFonts w:hint="eastAsia" w:ascii="宋体" w:hAnsi="宋体"/>
          <w:szCs w:val="21"/>
        </w:rPr>
        <w:t xml:space="preserve">                 大写：</w:t>
      </w:r>
      <w:r/>
    </w:p>
    <w:p>
      <w:pPr>
        <w:spacing w:after="160" w:line="400" w:lineRule="exact"/>
        <w:rPr>
          <w:rFonts w:ascii="宋体" w:hAnsi="宋体"/>
          <w:szCs w:val="21"/>
        </w:rPr>
      </w:pPr>
      <w:r>
        <w:rPr>
          <w:rFonts w:hint="eastAsia" w:ascii="宋体" w:hAnsi="宋体"/>
          <w:szCs w:val="21"/>
        </w:rPr>
        <w:t xml:space="preserve">         分包金额（如有）小写：</w:t>
      </w:r>
      <w:r/>
    </w:p>
    <w:p>
      <w:pPr>
        <w:spacing w:after="160" w:line="400" w:lineRule="exact"/>
        <w:rPr>
          <w:rFonts w:ascii="宋体" w:hAnsi="宋体"/>
          <w:szCs w:val="21"/>
          <w:u w:val="single"/>
        </w:rPr>
      </w:pPr>
      <w:r>
        <w:rPr>
          <w:rFonts w:hint="eastAsia" w:ascii="宋体" w:hAnsi="宋体"/>
          <w:szCs w:val="21"/>
        </w:rPr>
        <w:t xml:space="preserve">                     大写：</w:t>
      </w:r>
      <w:r/>
    </w:p>
    <w:p>
      <w:pPr>
        <w:spacing w:after="160"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after="160"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after="160"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ind w:firstLine="420"/>
        <w:spacing w:after="160" w:line="400" w:lineRule="exact"/>
        <w:rPr>
          <w:rFonts w:ascii="Times New Roman" w:hAnsi="Times New Roman"/>
          <w:szCs w:val="21"/>
        </w:rPr>
      </w:pPr>
      <w:r>
        <w:rPr>
          <w:rFonts w:hint="eastAsia" w:ascii="宋体" w:hAnsi="宋体"/>
          <w:szCs w:val="21"/>
        </w:rPr>
        <w:t xml:space="preserve">（3）付款方式（按项目实际勾选填写）：</w:t>
      </w:r>
      <w:r/>
    </w:p>
    <w:p>
      <w:pPr>
        <w:ind w:firstLine="630"/>
        <w:spacing w:after="16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after="160" w:line="400" w:lineRule="exact"/>
        <w:rPr>
          <w:rFonts w:ascii="宋体" w:hAnsi="宋体"/>
          <w:b/>
          <w:bCs/>
          <w:szCs w:val="21"/>
        </w:rPr>
      </w:pPr>
      <w:r>
        <w:rPr>
          <w:rFonts w:ascii="Wingdings" w:hAnsi="Wingdings" w:eastAsia="Wingdings" w:cs="Wingdings"/>
          <w:b/>
          <w:bCs/>
          <w:szCs w:val="21"/>
        </w:rPr>
        <w:t xml:space="preserve"></w:t>
      </w:r>
      <w:r>
        <w:rPr>
          <w:rFonts w:hint="eastAsia" w:ascii="宋体" w:hAnsi="宋体"/>
          <w:b/>
          <w:bCs/>
          <w:szCs w:val="21"/>
        </w:rPr>
        <w:t xml:space="preserve">分期付款：</w:t>
      </w:r>
      <w:r>
        <w:rPr>
          <w:rFonts w:hint="eastAsia" w:ascii="宋体" w:hAnsi="宋体"/>
          <w:b/>
          <w:bCs/>
          <w:szCs w:val="21"/>
          <w:u w:val="single"/>
        </w:rPr>
        <w:t xml:space="preserve">合同签订后支付合同金额30%，项目结束且验收合格后支付至合同金额80%，审计完成支付至审定价的90%，两年质保期满后付清尾款。</w:t>
      </w:r>
      <w:r/>
    </w:p>
    <w:p>
      <w:pPr>
        <w:ind w:firstLine="630"/>
        <w:spacing w:after="16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after="16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1"/>
        </w:numPr>
        <w:ind w:firstLine="422"/>
        <w:spacing w:after="160" w:line="400" w:lineRule="exact"/>
        <w:rPr>
          <w:rFonts w:ascii="宋体" w:hAnsi="宋体"/>
          <w:b/>
          <w:szCs w:val="21"/>
          <w:u w:val="single"/>
        </w:rPr>
      </w:pPr>
      <w:r>
        <w:rPr>
          <w:rFonts w:hint="eastAsia" w:ascii="宋体" w:hAnsi="宋体"/>
          <w:b/>
          <w:szCs w:val="21"/>
        </w:rPr>
        <w:t xml:space="preserve">合同履行</w:t>
      </w:r>
      <w:r/>
    </w:p>
    <w:p>
      <w:pPr>
        <w:ind w:firstLine="420"/>
        <w:spacing w:after="160" w:line="400" w:lineRule="exact"/>
        <w:rPr>
          <w:rFonts w:ascii="宋体" w:hAnsi="宋体" w:cs="宋体"/>
          <w:szCs w:val="21"/>
        </w:rPr>
      </w:pPr>
      <w:r>
        <w:rPr>
          <w:rFonts w:hint="eastAsia" w:ascii="宋体" w:hAnsi="宋体" w:cs="宋体"/>
          <w:szCs w:val="21"/>
        </w:rPr>
        <w:t xml:space="preserve">（1）起始日期：年月日，完成日期：年月日。</w:t>
      </w:r>
      <w:r/>
    </w:p>
    <w:p>
      <w:pPr>
        <w:ind w:firstLine="420"/>
        <w:spacing w:after="160"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spacing w:after="160" w:line="400" w:lineRule="exact"/>
        <w:rPr>
          <w:rFonts w:ascii="宋体" w:hAnsi="宋体" w:cs="宋体"/>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ind w:firstLine="420"/>
        <w:spacing w:after="160" w:line="400" w:lineRule="exact"/>
        <w:rPr>
          <w:rFonts w:ascii="宋体" w:hAnsi="宋体" w:cs="宋体"/>
          <w:bCs/>
          <w:szCs w:val="21"/>
        </w:rPr>
      </w:pPr>
      <w:r>
        <w:rPr>
          <w:rFonts w:hint="eastAsia" w:ascii="宋体" w:hAnsi="宋体" w:cs="宋体"/>
          <w:bCs/>
          <w:szCs w:val="21"/>
        </w:rPr>
        <w:t xml:space="preserve">（4）分期履行要求：</w:t>
      </w:r>
      <w:r/>
    </w:p>
    <w:p>
      <w:pPr>
        <w:ind w:firstLine="420"/>
        <w:spacing w:after="160"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31"/>
        </w:numPr>
        <w:ind w:firstLine="422"/>
        <w:spacing w:after="160" w:line="400" w:lineRule="exact"/>
        <w:rPr>
          <w:rFonts w:ascii="宋体" w:hAnsi="宋体"/>
          <w:b/>
          <w:szCs w:val="21"/>
        </w:rPr>
      </w:pPr>
      <w:r>
        <w:rPr>
          <w:rFonts w:hint="eastAsia" w:ascii="宋体" w:hAnsi="宋体"/>
          <w:b/>
          <w:szCs w:val="21"/>
        </w:rPr>
        <w:t xml:space="preserve">合同验收</w:t>
      </w:r>
      <w:r/>
    </w:p>
    <w:p>
      <w:pPr>
        <w:numPr>
          <w:ilvl w:val="0"/>
          <w:numId w:val="33"/>
        </w:numPr>
        <w:ind w:firstLine="420"/>
        <w:spacing w:after="160"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after="160" w:line="400" w:lineRule="exact"/>
        <w:rPr>
          <w:rFonts w:ascii="宋体" w:hAnsi="宋体"/>
          <w:bCs/>
          <w:szCs w:val="21"/>
        </w:rPr>
      </w:pPr>
      <w:r>
        <w:rPr>
          <w:rFonts w:hint="eastAsia" w:ascii="宋体" w:hAnsi="宋体"/>
          <w:bCs/>
          <w:szCs w:val="21"/>
        </w:rPr>
        <w:t xml:space="preserve">         验收主体：</w:t>
      </w:r>
      <w:r/>
    </w:p>
    <w:p>
      <w:pPr>
        <w:spacing w:after="160"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after="160"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840"/>
        <w:spacing w:after="160" w:line="400" w:lineRule="exact"/>
        <w:rPr>
          <w:rFonts w:ascii="宋体" w:hAnsi="宋体"/>
          <w:bCs/>
          <w:szCs w:val="21"/>
          <w:u w:val="single"/>
        </w:rPr>
      </w:pPr>
      <w:r>
        <w:rPr>
          <w:rFonts w:hint="eastAsia" w:ascii="宋体" w:hAnsi="宋体"/>
          <w:bCs/>
          <w:szCs w:val="21"/>
        </w:rPr>
        <w:t xml:space="preserve">验收组织的其他事项：</w:t>
      </w:r>
      <w:r/>
    </w:p>
    <w:p>
      <w:pPr>
        <w:ind w:firstLine="420"/>
        <w:spacing w:after="160"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after="160"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after="160"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after="16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甲方根据合同规定的内容和验收标准进行验收，同时比较乙方出具的检验证明，经检验无误后出具验收合格证明</w:t>
      </w:r>
      <w:r/>
    </w:p>
    <w:p>
      <w:pPr>
        <w:ind w:firstLine="420"/>
        <w:spacing w:after="16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after="160"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ind w:firstLine="420"/>
        <w:spacing w:after="160" w:line="400" w:lineRule="exact"/>
        <w:rPr>
          <w:rFonts w:ascii="宋体" w:hAnsi="宋体" w:cs="宋体"/>
          <w:szCs w:val="21"/>
        </w:rPr>
      </w:pPr>
      <w:r>
        <w:rPr>
          <w:rFonts w:hint="eastAsia" w:ascii="宋体" w:hAnsi="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cs="宋体"/>
          <w:bCs/>
          <w:szCs w:val="21"/>
        </w:rPr>
        <w:t xml:space="preserve">是  </w:t>
      </w:r>
      <w:r>
        <w:rPr>
          <w:rFonts w:ascii="Wingdings" w:hAnsi="Wingdings" w:eastAsia="Wingdings" w:cs="Wingdings"/>
          <w:szCs w:val="21"/>
        </w:rPr>
        <w:t xml:space="preserve"></w:t>
      </w:r>
      <w:r>
        <w:rPr>
          <w:rFonts w:hint="eastAsia" w:ascii="宋体" w:hAnsi="宋体" w:cs="宋体"/>
          <w:bCs/>
          <w:szCs w:val="21"/>
        </w:rPr>
        <w:t xml:space="preserve">否</w:t>
      </w:r>
      <w:r/>
    </w:p>
    <w:p>
      <w:pPr>
        <w:numPr>
          <w:ilvl w:val="0"/>
          <w:numId w:val="31"/>
        </w:numPr>
        <w:ind w:firstLine="422"/>
        <w:spacing w:after="160" w:line="400" w:lineRule="exact"/>
        <w:rPr>
          <w:rFonts w:ascii="宋体" w:hAnsi="宋体"/>
          <w:b/>
          <w:szCs w:val="21"/>
        </w:rPr>
      </w:pPr>
      <w:r>
        <w:rPr>
          <w:rFonts w:hint="eastAsia" w:ascii="宋体" w:hAnsi="宋体"/>
          <w:b/>
          <w:szCs w:val="21"/>
        </w:rPr>
        <w:t xml:space="preserve">组成合同的文件</w:t>
      </w:r>
      <w:r/>
    </w:p>
    <w:p>
      <w:pPr>
        <w:ind w:firstLine="420"/>
        <w:spacing w:after="16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after="160"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after="160" w:line="400" w:lineRule="exact"/>
        <w:rPr>
          <w:rFonts w:ascii="宋体" w:hAnsi="宋体"/>
          <w:szCs w:val="21"/>
        </w:rPr>
      </w:pPr>
      <w:r>
        <w:rPr>
          <w:rFonts w:hint="eastAsia" w:ascii="宋体" w:hAnsi="宋体"/>
          <w:szCs w:val="21"/>
        </w:rPr>
        <w:t xml:space="preserve">（2）政府采购合同专用条款</w:t>
      </w:r>
      <w:r/>
    </w:p>
    <w:p>
      <w:pPr>
        <w:ind w:firstLine="420"/>
        <w:spacing w:after="160" w:line="400" w:lineRule="exact"/>
        <w:rPr>
          <w:rFonts w:ascii="宋体" w:hAnsi="宋体"/>
          <w:szCs w:val="21"/>
        </w:rPr>
      </w:pPr>
      <w:r>
        <w:rPr>
          <w:rFonts w:hint="eastAsia" w:ascii="宋体" w:hAnsi="宋体"/>
          <w:szCs w:val="21"/>
        </w:rPr>
        <w:t xml:space="preserve">（3）政府采购合同通用条款</w:t>
      </w:r>
      <w:r/>
    </w:p>
    <w:p>
      <w:pPr>
        <w:ind w:firstLine="420"/>
        <w:spacing w:after="160" w:line="400" w:lineRule="exact"/>
        <w:rPr>
          <w:rFonts w:ascii="宋体" w:hAnsi="宋体"/>
          <w:szCs w:val="21"/>
        </w:rPr>
      </w:pPr>
      <w:r>
        <w:rPr>
          <w:rFonts w:hint="eastAsia" w:ascii="宋体" w:hAnsi="宋体"/>
          <w:szCs w:val="21"/>
        </w:rPr>
        <w:t xml:space="preserve">（4）中标（成交）通知书</w:t>
      </w:r>
      <w:r/>
    </w:p>
    <w:p>
      <w:pPr>
        <w:ind w:firstLine="420"/>
        <w:spacing w:after="160" w:line="400" w:lineRule="exact"/>
        <w:rPr>
          <w:rFonts w:ascii="宋体" w:hAnsi="宋体"/>
          <w:szCs w:val="21"/>
        </w:rPr>
      </w:pPr>
      <w:r>
        <w:rPr>
          <w:rFonts w:hint="eastAsia" w:ascii="宋体" w:hAnsi="宋体"/>
          <w:szCs w:val="21"/>
        </w:rPr>
        <w:t xml:space="preserve">（5）投标（响应）文件</w:t>
      </w:r>
      <w:r/>
    </w:p>
    <w:p>
      <w:pPr>
        <w:ind w:firstLine="420"/>
        <w:spacing w:after="160" w:line="400" w:lineRule="exact"/>
        <w:rPr>
          <w:rFonts w:ascii="宋体" w:hAnsi="宋体"/>
          <w:szCs w:val="21"/>
        </w:rPr>
      </w:pPr>
      <w:r>
        <w:rPr>
          <w:rFonts w:hint="eastAsia" w:ascii="宋体" w:hAnsi="宋体"/>
          <w:szCs w:val="21"/>
        </w:rPr>
        <w:t xml:space="preserve">（6）采购文件</w:t>
      </w:r>
      <w:r/>
    </w:p>
    <w:p>
      <w:pPr>
        <w:ind w:firstLine="420"/>
        <w:spacing w:after="160" w:line="400" w:lineRule="exact"/>
        <w:rPr>
          <w:rFonts w:ascii="宋体" w:hAnsi="宋体"/>
          <w:szCs w:val="21"/>
        </w:rPr>
      </w:pPr>
      <w:r>
        <w:rPr>
          <w:rFonts w:hint="eastAsia" w:ascii="宋体" w:hAnsi="宋体"/>
          <w:szCs w:val="21"/>
        </w:rPr>
        <w:t xml:space="preserve">（7）有关技术文件，图纸</w:t>
      </w:r>
      <w:r/>
    </w:p>
    <w:p>
      <w:pPr>
        <w:ind w:firstLine="420"/>
        <w:spacing w:after="160" w:line="400" w:lineRule="exact"/>
        <w:rPr>
          <w:rFonts w:ascii="宋体" w:hAnsi="宋体" w:cs="宋体"/>
          <w:szCs w:val="21"/>
        </w:rPr>
      </w:pPr>
      <w:r>
        <w:rPr>
          <w:rFonts w:hint="eastAsia" w:ascii="宋体" w:hAnsi="宋体" w:cs="宋体"/>
          <w:szCs w:val="21"/>
        </w:rPr>
        <w:t xml:space="preserve">（8）国家法律、行政法规和规章制度规定或合同约定的作为合同组成部分的其他文件</w:t>
      </w:r>
      <w:r/>
    </w:p>
    <w:p>
      <w:pPr>
        <w:numPr>
          <w:ilvl w:val="0"/>
          <w:numId w:val="31"/>
        </w:numPr>
        <w:ind w:firstLine="422"/>
        <w:spacing w:after="160" w:line="400" w:lineRule="exact"/>
        <w:rPr>
          <w:rFonts w:ascii="宋体" w:hAnsi="宋体"/>
          <w:b/>
          <w:szCs w:val="21"/>
        </w:rPr>
      </w:pPr>
      <w:r>
        <w:rPr>
          <w:rFonts w:hint="eastAsia" w:ascii="宋体" w:hAnsi="宋体"/>
          <w:b/>
          <w:szCs w:val="21"/>
        </w:rPr>
        <w:t xml:space="preserve">合同生效</w:t>
      </w:r>
      <w:r/>
    </w:p>
    <w:p>
      <w:pPr>
        <w:ind w:firstLine="420"/>
        <w:spacing w:after="160" w:line="400" w:lineRule="exact"/>
        <w:rPr>
          <w:rFonts w:ascii="宋体" w:hAnsi="宋体"/>
          <w:szCs w:val="21"/>
        </w:rPr>
      </w:pPr>
      <w:r>
        <w:rPr>
          <w:rFonts w:hint="eastAsia" w:ascii="宋体" w:hAnsi="宋体"/>
          <w:szCs w:val="21"/>
        </w:rPr>
        <w:t xml:space="preserve">本合同自生效。</w:t>
      </w:r>
      <w:r/>
    </w:p>
    <w:p>
      <w:pPr>
        <w:numPr>
          <w:ilvl w:val="0"/>
          <w:numId w:val="31"/>
        </w:numPr>
        <w:ind w:firstLine="422"/>
        <w:spacing w:after="160" w:line="400" w:lineRule="exact"/>
        <w:rPr>
          <w:rFonts w:ascii="宋体" w:hAnsi="宋体"/>
          <w:b/>
          <w:szCs w:val="21"/>
        </w:rPr>
      </w:pPr>
      <w:r>
        <w:rPr>
          <w:rFonts w:hint="eastAsia" w:ascii="宋体" w:hAnsi="宋体"/>
          <w:b/>
          <w:szCs w:val="21"/>
        </w:rPr>
        <w:t xml:space="preserve">合同份数</w:t>
      </w:r>
      <w:r/>
    </w:p>
    <w:p>
      <w:pPr>
        <w:ind w:firstLine="420"/>
        <w:spacing w:after="160" w:line="400" w:lineRule="exact"/>
        <w:rPr>
          <w:rFonts w:ascii="宋体" w:hAnsi="宋体"/>
          <w:szCs w:val="21"/>
        </w:rPr>
      </w:pPr>
      <w:r>
        <w:rPr>
          <w:rFonts w:hint="eastAsia" w:ascii="宋体" w:hAnsi="宋体"/>
          <w:szCs w:val="21"/>
        </w:rPr>
        <w:t xml:space="preserve">本合同一式份，甲方执份，乙方执份，均具有同等法律效力。</w:t>
      </w:r>
      <w:r/>
    </w:p>
    <w:p>
      <w:pPr>
        <w:ind w:firstLine="420"/>
        <w:spacing w:after="160" w:line="400" w:lineRule="exact"/>
        <w:rPr>
          <w:rFonts w:ascii="宋体" w:hAnsi="宋体"/>
          <w:szCs w:val="21"/>
        </w:rPr>
      </w:pPr>
      <w:r>
        <w:rPr>
          <w:rFonts w:hint="eastAsia" w:ascii="宋体" w:hAnsi="宋体"/>
          <w:szCs w:val="21"/>
        </w:rPr>
        <w:t xml:space="preserve">合同订立时间：年月日</w:t>
      </w:r>
      <w:r/>
    </w:p>
    <w:p>
      <w:pPr>
        <w:ind w:firstLine="420"/>
        <w:spacing w:after="160" w:line="400" w:lineRule="exact"/>
        <w:rPr>
          <w:rFonts w:ascii="宋体" w:hAnsi="宋体"/>
          <w:szCs w:val="21"/>
        </w:rPr>
      </w:pPr>
      <w:r>
        <w:rPr>
          <w:rFonts w:hint="eastAsia" w:ascii="宋体" w:hAnsi="宋体"/>
          <w:szCs w:val="21"/>
        </w:rPr>
        <w:t xml:space="preserve">合同订立地点：</w:t>
      </w:r>
      <w:r/>
    </w:p>
    <w:p>
      <w:pPr>
        <w:ind w:firstLine="420"/>
        <w:spacing w:after="160" w:line="400" w:lineRule="exact"/>
        <w:rPr>
          <w:rFonts w:ascii="Times New Roman" w:hAnsi="Times New Roman"/>
        </w:rPr>
      </w:pPr>
      <w:r>
        <w:rPr>
          <w:rFonts w:hint="eastAsia" w:ascii="宋体" w:hAnsi="宋体"/>
          <w:szCs w:val="21"/>
        </w:rPr>
        <w:t xml:space="preserve">附件：具体标的及其技术要求和商务要求、联合协议、分包意向协议等。</w:t>
      </w:r>
      <w:r/>
    </w:p>
    <w:p>
      <w:pPr>
        <w:spacing w:after="160" w:line="278" w:lineRule="auto"/>
        <w:rPr>
          <w:rFonts w:ascii="Times New Roman" w:hAnsi="Times New Roman"/>
        </w:rPr>
      </w:pPr>
      <w:r>
        <w:rPr>
          <w:rFonts w:hint="eastAsia" w:ascii="Times New Roman" w:hAnsi="Times New Roman"/>
        </w:rPr>
        <w:br w:type="page" w:clear="all"/>
      </w:r>
      <w:r/>
    </w:p>
    <w:p>
      <w:pPr>
        <w:ind w:firstLine="420"/>
        <w:spacing w:after="160" w:line="278" w:lineRule="auto"/>
        <w:rPr>
          <w:rFonts w:ascii="Times New Roman" w:hAnsi="Times New Roman"/>
          <w:szCs w:val="21"/>
        </w:rPr>
      </w:pPr>
      <w:r>
        <w:rPr>
          <w:rFonts w:ascii="Times New Roman" w:hAnsi="Times New Roman"/>
          <w:szCs w:val="21"/>
        </w:rPr>
      </w:r>
      <w:r/>
    </w:p>
    <w:tbl>
      <w:tblPr>
        <w:tblStyle w:val="80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after="160" w:line="300" w:lineRule="exact"/>
              <w:rPr>
                <w:rFonts w:ascii="Times New Roman" w:hAnsi="Times New Roman"/>
              </w:rPr>
            </w:pPr>
            <w:r>
              <w:rPr>
                <w:rFonts w:ascii="Times New Roman" w:hAnsi="Times New Roman"/>
                <w:szCs w:val="21"/>
              </w:rPr>
              <w:t xml:space="preserve">甲方</w:t>
            </w:r>
            <w:r>
              <w:rPr>
                <w:rFonts w:hint="eastAsia" w:ascii="Times New Roman" w:hAnsi="Times New Roman"/>
                <w:szCs w:val="21"/>
              </w:rPr>
              <w:t xml:space="preserve">（采购人</w:t>
            </w:r>
            <w:r>
              <w:rPr>
                <w:rFonts w:hint="eastAsia" w:ascii="宋体" w:hAnsi="宋体"/>
                <w:szCs w:val="21"/>
              </w:rPr>
              <w:t xml:space="preserve">、受采购人委托签订合同的单位或</w:t>
            </w:r>
            <w:r>
              <w:rPr>
                <w:rFonts w:hint="eastAsia" w:ascii="Times New Roman" w:hAnsi="Times New Roman"/>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after="160" w:line="300" w:lineRule="exact"/>
              <w:rPr>
                <w:rFonts w:ascii="Times New Roman" w:hAnsi="Times New Roman"/>
              </w:rPr>
            </w:pPr>
            <w:r>
              <w:rPr>
                <w:rFonts w:ascii="Times New Roman" w:hAnsi="Times New Roman"/>
                <w:szCs w:val="21"/>
              </w:rPr>
              <w:t xml:space="preserve">乙方</w:t>
            </w:r>
            <w:r>
              <w:rPr>
                <w:rFonts w:hint="eastAsia" w:ascii="Times New Roman" w:hAnsi="Times New Roman"/>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单位名称</w:t>
            </w:r>
            <w:r>
              <w:rPr>
                <w:rFonts w:hint="eastAsia" w:ascii="Times New Roman" w:hAnsi="Times New Roman"/>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单位名称</w:t>
            </w:r>
            <w:r>
              <w:rPr>
                <w:rFonts w:hint="eastAsia" w:ascii="Times New Roman" w:hAnsi="Times New Roman"/>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法定代表人</w:t>
            </w:r>
            <w:r/>
          </w:p>
          <w:p>
            <w:pPr>
              <w:ind w:firstLine="101"/>
              <w:jc w:val="center"/>
              <w:spacing w:after="160" w:line="300" w:lineRule="exact"/>
              <w:rPr>
                <w:rFonts w:ascii="Times New Roman" w:hAnsi="Times New Roman"/>
                <w:szCs w:val="21"/>
              </w:rPr>
            </w:pPr>
            <w:r>
              <w:rPr>
                <w:rFonts w:hint="eastAsia" w:ascii="Times New Roman" w:hAnsi="Times New Roman"/>
                <w:szCs w:val="21"/>
              </w:rPr>
              <w:t xml:space="preserve">或其</w:t>
            </w:r>
            <w:r>
              <w:rPr>
                <w:rFonts w:ascii="Times New Roman" w:hAnsi="Times New Roman"/>
                <w:szCs w:val="21"/>
              </w:rPr>
              <w:t xml:space="preserve">委托代理人</w:t>
            </w:r>
            <w:r>
              <w:rPr>
                <w:rFonts w:hint="eastAsia" w:ascii="Times New Roman" w:hAnsi="Times New Roman"/>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法定代表人</w:t>
            </w:r>
            <w:r/>
          </w:p>
          <w:p>
            <w:pPr>
              <w:jc w:val="center"/>
              <w:spacing w:after="160" w:line="300" w:lineRule="exact"/>
              <w:rPr>
                <w:rFonts w:ascii="Times New Roman" w:hAnsi="Times New Roman"/>
                <w:szCs w:val="21"/>
              </w:rPr>
            </w:pPr>
            <w:r>
              <w:rPr>
                <w:rFonts w:hint="eastAsia" w:ascii="Times New Roman" w:hAnsi="Times New Roman"/>
                <w:szCs w:val="21"/>
              </w:rPr>
              <w:t xml:space="preserve">或其</w:t>
            </w:r>
            <w:r>
              <w:rPr>
                <w:rFonts w:ascii="Times New Roman" w:hAnsi="Times New Roman"/>
                <w:szCs w:val="21"/>
              </w:rPr>
              <w:t xml:space="preserve">委托代理人</w:t>
            </w:r>
            <w:r>
              <w:rPr>
                <w:rFonts w:hint="eastAsia" w:ascii="Times New Roman" w:hAnsi="Times New Roman"/>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hint="eastAsia" w:ascii="Times New Roman" w:hAnsi="Times New Roman"/>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rPr>
            </w:pPr>
            <w:r>
              <w:rPr>
                <w:rFonts w:ascii="Times New Roman" w:hAnsi="Times New Roman"/>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rPr>
            </w:pPr>
            <w:r>
              <w:rPr>
                <w:rFonts w:ascii="Times New Roman" w:hAnsi="Times New Roman"/>
                <w:spacing w:val="20"/>
                <w:szCs w:val="21"/>
              </w:rPr>
            </w:r>
            <w:r/>
          </w:p>
        </w:tc>
      </w:tr>
      <w:tr>
        <w:trPr>
          <w:trHeight w:val="586"/>
        </w:trPr>
        <w:tc>
          <w:tcPr>
            <w:gridSpan w:val="4"/>
            <w:tcBorders>
              <w:top w:val="single" w:color="auto" w:sz="2" w:space="0"/>
            </w:tcBorders>
            <w:tcW w:w="5000" w:type="pct"/>
            <w:vAlign w:val="center"/>
            <w:textDirection w:val="lrTb"/>
            <w:noWrap w:val="false"/>
          </w:tcPr>
          <w:p>
            <w:pPr>
              <w:ind w:firstLine="425"/>
              <w:spacing w:after="160" w:line="360" w:lineRule="auto"/>
              <w:rPr>
                <w:rFonts w:ascii="Times New Roman" w:hAnsi="Times New Roman"/>
                <w:spacing w:val="20"/>
                <w:sz w:val="24"/>
                <w:szCs w:val="21"/>
              </w:rPr>
            </w:pPr>
            <w:r>
              <w:rPr>
                <w:rFonts w:hint="eastAsia" w:ascii="宋体" w:hAnsi="宋体"/>
                <w:sz w:val="24"/>
                <w:szCs w:val="21"/>
              </w:rPr>
              <w:t xml:space="preserve">注：涉及联合体或其他合同主体的信息应按上表格式加列。</w:t>
            </w:r>
            <w:r/>
          </w:p>
        </w:tc>
      </w:tr>
    </w:tbl>
    <w:p>
      <w:pPr>
        <w:numPr>
          <w:ilvl w:val="1"/>
          <w:numId w:val="30"/>
        </w:numPr>
        <w:jc w:val="center"/>
        <w:spacing w:before="156" w:after="156" w:line="360" w:lineRule="auto"/>
        <w:rPr>
          <w:rFonts w:ascii="黑体" w:hAnsi="黑体" w:eastAsia="黑体"/>
          <w:b/>
          <w:bCs/>
          <w:sz w:val="28"/>
          <w:szCs w:val="28"/>
        </w:rPr>
        <w:outlineLvl w:val="1"/>
      </w:pPr>
      <w:r>
        <w:rPr>
          <w:rFonts w:ascii="宋体" w:hAnsi="宋体"/>
          <w:b/>
          <w:bCs/>
          <w:szCs w:val="21"/>
          <w:u w:val="single"/>
        </w:rPr>
        <w:br w:type="page" w:clear="all"/>
      </w:r>
      <w:bookmarkStart w:id="2" w:name="_Toc27624"/>
      <w:r>
        <w:rPr>
          <w:rFonts w:hint="eastAsia" w:ascii="黑体" w:hAnsi="黑体" w:eastAsia="黑体"/>
          <w:sz w:val="28"/>
          <w:szCs w:val="28"/>
        </w:rPr>
        <w:t xml:space="preserve">第二节 政府采购合同通用条款</w:t>
      </w:r>
      <w:bookmarkEnd w:id="2"/>
      <w:r/>
      <w:r/>
    </w:p>
    <w:p>
      <w:pPr>
        <w:spacing w:after="16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spacing w:after="160" w:line="400" w:lineRule="exact"/>
        <w:rPr>
          <w:rFonts w:ascii="宋体" w:hAnsi="宋体"/>
          <w:szCs w:val="21"/>
        </w:rPr>
      </w:pPr>
      <w:r>
        <w:rPr>
          <w:rFonts w:hint="eastAsia" w:ascii="宋体" w:hAnsi="宋体"/>
          <w:szCs w:val="21"/>
        </w:rPr>
        <w:t xml:space="preserve">1.1合同当事人</w:t>
      </w:r>
      <w:r/>
    </w:p>
    <w:p>
      <w:pPr>
        <w:ind w:firstLine="420"/>
        <w:spacing w:after="160"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spacing w:after="160"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spacing w:after="160"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spacing w:after="160"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spacing w:after="160" w:line="400" w:lineRule="exact"/>
        <w:rPr>
          <w:rFonts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spacing w:after="160"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spacing w:after="160"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spacing w:after="160" w:line="400" w:lineRule="exact"/>
        <w:rPr>
          <w:rFonts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spacing w:after="160" w:line="400" w:lineRule="exact"/>
        <w:rPr>
          <w:rFonts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160"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spacing w:after="160"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34"/>
        </w:numPr>
        <w:spacing w:after="160" w:line="400" w:lineRule="exact"/>
        <w:rPr>
          <w:rFonts w:ascii="宋体" w:hAnsi="宋体"/>
          <w:b/>
          <w:bCs/>
          <w:sz w:val="24"/>
        </w:rPr>
      </w:pPr>
      <w:r>
        <w:rPr>
          <w:rFonts w:hint="eastAsia" w:ascii="宋体" w:hAnsi="宋体"/>
          <w:b/>
          <w:sz w:val="24"/>
        </w:rPr>
        <w:t xml:space="preserve">合同标的及金额</w:t>
      </w:r>
      <w:r/>
    </w:p>
    <w:p>
      <w:pPr>
        <w:ind w:firstLine="420"/>
        <w:spacing w:after="160" w:line="400" w:lineRule="exact"/>
        <w:rPr>
          <w:rFonts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spacing w:after="160" w:line="400" w:lineRule="exact"/>
        <w:rPr>
          <w:rFonts w:ascii="宋体" w:hAnsi="宋体"/>
          <w:b/>
          <w:sz w:val="24"/>
        </w:rPr>
      </w:pPr>
      <w:r>
        <w:rPr>
          <w:rFonts w:hint="eastAsia" w:ascii="宋体" w:hAnsi="宋体"/>
          <w:b/>
          <w:sz w:val="24"/>
        </w:rPr>
        <w:t xml:space="preserve">3. 履行合同的时间、地点和方式</w:t>
      </w:r>
      <w:r/>
    </w:p>
    <w:p>
      <w:pPr>
        <w:ind w:firstLine="420"/>
        <w:spacing w:after="160" w:line="400" w:lineRule="exact"/>
        <w:rPr>
          <w:rFonts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spacing w:after="160" w:line="400" w:lineRule="exact"/>
        <w:rPr>
          <w:rFonts w:ascii="宋体" w:hAnsi="宋体"/>
          <w:b/>
          <w:bCs/>
          <w:sz w:val="24"/>
        </w:rPr>
      </w:pPr>
      <w:r>
        <w:rPr>
          <w:rFonts w:hint="eastAsia" w:ascii="宋体" w:hAnsi="宋体"/>
          <w:b/>
          <w:bCs/>
          <w:sz w:val="24"/>
        </w:rPr>
        <w:t xml:space="preserve">4. 甲方的权利和义务</w:t>
      </w:r>
      <w:r/>
    </w:p>
    <w:p>
      <w:pPr>
        <w:ind w:firstLine="420"/>
        <w:spacing w:after="160" w:line="400" w:lineRule="exact"/>
        <w:rPr>
          <w:rFonts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spacing w:after="160" w:line="400" w:lineRule="exact"/>
        <w:rPr>
          <w:rFonts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spacing w:after="160" w:line="400" w:lineRule="exact"/>
        <w:rPr>
          <w:rFonts w:ascii="宋体" w:hAnsi="宋体"/>
          <w:szCs w:val="21"/>
        </w:rPr>
      </w:pPr>
      <w:r>
        <w:rPr>
          <w:rFonts w:hint="eastAsia" w:ascii="宋体" w:hAnsi="宋体"/>
          <w:szCs w:val="21"/>
        </w:rPr>
        <w:t xml:space="preserve">4.</w:t>
      </w:r>
      <w:r>
        <w:rPr>
          <w:rFonts w:ascii="宋体" w:hAnsi="宋体"/>
          <w:szCs w:val="21"/>
        </w:rPr>
        <w:t xml:space="preserve">3甲方</w:t>
      </w:r>
      <w:r>
        <w:rPr>
          <w:rFonts w:hint="eastAsia" w:ascii="宋体" w:hAnsi="宋体"/>
          <w:szCs w:val="21"/>
        </w:rPr>
        <w:t xml:space="preserve">有权要求乙方对缺陷部分予以修复，并按合同约定享有货物保修及其他合同约定的权利。</w:t>
      </w:r>
      <w:r/>
    </w:p>
    <w:p>
      <w:pPr>
        <w:ind w:firstLine="420"/>
        <w:spacing w:after="160" w:line="400" w:lineRule="exact"/>
        <w:rPr>
          <w:rFonts w:ascii="Times New Roman" w:hAnsi="Times New Roman" w:eastAsia="华文楷体"/>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spacing w:after="160" w:line="400" w:lineRule="exact"/>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spacing w:after="160" w:line="400" w:lineRule="exact"/>
        <w:rPr>
          <w:rFonts w:ascii="宋体" w:hAnsi="宋体"/>
          <w:szCs w:val="21"/>
        </w:rPr>
      </w:pPr>
      <w:r>
        <w:rPr>
          <w:rFonts w:hint="eastAsia" w:ascii="宋体" w:hAnsi="宋体"/>
          <w:szCs w:val="21"/>
        </w:rPr>
        <w:t xml:space="preserve">4.6国家法律法规规定及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spacing w:after="160" w:line="400" w:lineRule="exact"/>
        <w:rPr>
          <w:rFonts w:ascii="宋体" w:hAnsi="宋体"/>
          <w:b/>
          <w:bCs/>
          <w:sz w:val="24"/>
        </w:rPr>
      </w:pPr>
      <w:r>
        <w:rPr>
          <w:rFonts w:hint="eastAsia" w:ascii="宋体" w:hAnsi="宋体"/>
          <w:b/>
          <w:bCs/>
          <w:sz w:val="24"/>
        </w:rPr>
        <w:t xml:space="preserve">5. 乙方的权利和义务</w:t>
      </w:r>
      <w:r/>
    </w:p>
    <w:p>
      <w:pPr>
        <w:ind w:firstLine="420"/>
        <w:spacing w:after="160" w:line="400" w:lineRule="exact"/>
        <w:rPr>
          <w:rFonts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spacing w:after="160" w:line="400" w:lineRule="exact"/>
        <w:rPr>
          <w:rFonts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ind w:firstLine="352"/>
        <w:spacing w:line="400" w:lineRule="exact"/>
        <w:rPr>
          <w:rFonts w:ascii="宋体" w:hAnsi="宋体" w:cs="宋体"/>
          <w:sz w:val="20"/>
          <w:szCs w:val="21"/>
        </w:rPr>
      </w:pPr>
      <w:r>
        <w:rPr>
          <w:rFonts w:hint="eastAsia" w:ascii="宋体" w:hAnsi="宋体"/>
          <w:sz w:val="20"/>
          <w:szCs w:val="21"/>
        </w:rPr>
        <w:t xml:space="preserve">5.</w:t>
      </w:r>
      <w:r>
        <w:rPr>
          <w:rFonts w:ascii="宋体" w:hAnsi="宋体"/>
          <w:sz w:val="20"/>
          <w:szCs w:val="21"/>
        </w:rPr>
        <w:t xml:space="preserve">3</w:t>
      </w:r>
      <w:r>
        <w:rPr>
          <w:rFonts w:hint="eastAsia" w:ascii="宋体" w:hAnsi="宋体"/>
          <w:sz w:val="20"/>
          <w:szCs w:val="21"/>
        </w:rPr>
        <w:t xml:space="preserve">乙方有权</w:t>
      </w:r>
      <w:r>
        <w:rPr>
          <w:rFonts w:hint="eastAsia" w:ascii="宋体" w:hAnsi="宋体" w:cs="宋体"/>
          <w:sz w:val="20"/>
          <w:szCs w:val="21"/>
        </w:rPr>
        <w:t xml:space="preserve">根据合同约定向甲方收取合同价款。</w:t>
      </w:r>
      <w:r/>
    </w:p>
    <w:p>
      <w:pPr>
        <w:ind w:firstLine="352"/>
        <w:spacing w:line="400" w:lineRule="exact"/>
        <w:rPr>
          <w:rFonts w:ascii="宋体" w:hAnsi="宋体" w:cs="宋体"/>
          <w:sz w:val="20"/>
          <w:szCs w:val="21"/>
        </w:rPr>
      </w:pPr>
      <w:r>
        <w:rPr>
          <w:rFonts w:hint="eastAsia" w:ascii="宋体" w:hAnsi="宋体"/>
          <w:sz w:val="20"/>
          <w:szCs w:val="21"/>
        </w:rPr>
        <w:t xml:space="preserve">5.</w:t>
      </w:r>
      <w:r>
        <w:rPr>
          <w:rFonts w:ascii="宋体" w:hAnsi="宋体"/>
          <w:sz w:val="20"/>
          <w:szCs w:val="21"/>
        </w:rPr>
        <w:t xml:space="preserve">4</w:t>
      </w:r>
      <w:r>
        <w:rPr>
          <w:rFonts w:hint="eastAsia" w:ascii="宋体" w:hAnsi="宋体" w:cs="宋体"/>
          <w:sz w:val="20"/>
          <w:szCs w:val="21"/>
        </w:rPr>
        <w:t xml:space="preserve">国家法律法规规定</w:t>
      </w:r>
      <w:r>
        <w:rPr>
          <w:rFonts w:hint="eastAsia" w:ascii="宋体" w:hAnsi="宋体"/>
          <w:sz w:val="20"/>
          <w:szCs w:val="21"/>
        </w:rPr>
        <w:t xml:space="preserve">及</w:t>
      </w:r>
      <w:r>
        <w:rPr>
          <w:rFonts w:hint="eastAsia" w:ascii="宋体" w:hAnsi="宋体" w:cs="宋体"/>
          <w:b/>
          <w:bCs/>
          <w:sz w:val="20"/>
          <w:szCs w:val="21"/>
        </w:rPr>
        <w:t xml:space="preserve">【政府采购合同专用条款】</w:t>
      </w:r>
      <w:r>
        <w:rPr>
          <w:rFonts w:hint="eastAsia" w:ascii="宋体" w:hAnsi="宋体" w:cs="宋体"/>
          <w:sz w:val="20"/>
          <w:szCs w:val="21"/>
        </w:rPr>
        <w:t xml:space="preserve">约定应由乙方承担的其他义务和责任。</w:t>
      </w:r>
      <w:r/>
    </w:p>
    <w:p>
      <w:pPr>
        <w:numPr>
          <w:ilvl w:val="0"/>
          <w:numId w:val="35"/>
        </w:numPr>
        <w:spacing w:after="160" w:line="400" w:lineRule="exact"/>
        <w:rPr>
          <w:rFonts w:ascii="宋体" w:hAnsi="宋体"/>
          <w:b/>
          <w:bCs/>
          <w:sz w:val="24"/>
        </w:rPr>
      </w:pPr>
      <w:r>
        <w:rPr>
          <w:rFonts w:hint="eastAsia" w:ascii="宋体" w:hAnsi="宋体"/>
          <w:b/>
          <w:bCs/>
          <w:sz w:val="24"/>
        </w:rPr>
        <w:t xml:space="preserve">合同履行</w:t>
      </w:r>
      <w:r/>
    </w:p>
    <w:p>
      <w:pPr>
        <w:ind w:firstLine="420"/>
        <w:spacing w:after="160" w:line="400" w:lineRule="exact"/>
        <w:rPr>
          <w:rFonts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spacing w:after="160" w:line="400" w:lineRule="exact"/>
        <w:rPr>
          <w:rFonts w:ascii="Times New Roman" w:hAnsi="Times New Roman"/>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160" w:line="400" w:lineRule="exact"/>
        <w:rPr>
          <w:rFonts w:ascii="宋体" w:hAnsi="宋体"/>
          <w:b/>
          <w:bCs/>
          <w:sz w:val="24"/>
        </w:rPr>
      </w:pPr>
      <w:r>
        <w:rPr>
          <w:rFonts w:hint="eastAsia" w:ascii="宋体" w:hAnsi="宋体"/>
          <w:b/>
          <w:bCs/>
          <w:sz w:val="24"/>
        </w:rPr>
        <w:t xml:space="preserve">7. 货物包装、运输、保险和交付要求</w:t>
      </w:r>
      <w:r/>
    </w:p>
    <w:p>
      <w:pPr>
        <w:ind w:firstLine="420"/>
        <w:spacing w:after="160" w:line="400" w:lineRule="exact"/>
        <w:rPr>
          <w:rFonts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spacing w:after="160" w:line="400" w:lineRule="exact"/>
        <w:rPr>
          <w:rFonts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spacing w:after="160" w:line="400" w:lineRule="exact"/>
        <w:rPr>
          <w:rFonts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spacing w:after="160" w:line="400" w:lineRule="exact"/>
        <w:rPr>
          <w:rFonts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160" w:line="400" w:lineRule="exact"/>
        <w:rPr>
          <w:rFonts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ind w:firstLine="420"/>
        <w:spacing w:after="160" w:line="400" w:lineRule="exact"/>
        <w:rPr>
          <w:rFonts w:ascii="华文楷体" w:hAnsi="华文楷体" w:eastAsia="华文楷体" w:cs="华文楷体"/>
          <w:szCs w:val="21"/>
        </w:rPr>
      </w:pPr>
      <w:r>
        <w:rPr>
          <w:rFonts w:hint="eastAsia" w:ascii="宋体" w:hAnsi="宋体"/>
          <w:szCs w:val="21"/>
        </w:rPr>
        <w:t xml:space="preserve">7.6 如因包装、运输问题导致货物损毁、丢失或者品质下降，甲方有权要求降价、换货、拒收部分或整批货物，由此产生的费用和损失，均由乙方承担。</w:t>
      </w:r>
      <w:r/>
    </w:p>
    <w:p>
      <w:pPr>
        <w:spacing w:after="160" w:line="400" w:lineRule="exact"/>
        <w:rPr>
          <w:rFonts w:ascii="宋体" w:hAnsi="宋体"/>
          <w:b/>
          <w:sz w:val="24"/>
        </w:rPr>
      </w:pPr>
      <w:r>
        <w:rPr>
          <w:rFonts w:hint="eastAsia" w:ascii="宋体" w:hAnsi="宋体"/>
          <w:b/>
          <w:sz w:val="24"/>
        </w:rPr>
        <w:t xml:space="preserve">8. 质量标准和保证</w:t>
      </w:r>
      <w:r/>
    </w:p>
    <w:p>
      <w:pPr>
        <w:ind w:firstLine="420"/>
        <w:spacing w:after="160" w:line="400" w:lineRule="exact"/>
        <w:rPr>
          <w:rFonts w:ascii="宋体" w:hAnsi="宋体"/>
          <w:szCs w:val="21"/>
        </w:rPr>
      </w:pPr>
      <w:r>
        <w:rPr>
          <w:rFonts w:hint="eastAsia" w:ascii="宋体" w:hAnsi="宋体"/>
          <w:szCs w:val="21"/>
        </w:rPr>
        <w:t xml:space="preserve">8.1 质量标准</w:t>
      </w:r>
      <w:r/>
    </w:p>
    <w:p>
      <w:pPr>
        <w:ind w:firstLine="420"/>
        <w:spacing w:after="160" w:line="400" w:lineRule="exact"/>
        <w:rPr>
          <w:rFonts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after="160" w:line="400" w:lineRule="exact"/>
        <w:rPr>
          <w:rFonts w:ascii="宋体" w:hAnsi="宋体"/>
          <w:szCs w:val="21"/>
        </w:rPr>
      </w:pPr>
      <w:r>
        <w:rPr>
          <w:rFonts w:hint="eastAsia" w:ascii="宋体" w:hAnsi="宋体"/>
          <w:szCs w:val="21"/>
        </w:rPr>
        <w:t xml:space="preserve">（2）采用中华人民共和国法定计量单位。</w:t>
      </w:r>
      <w:r/>
    </w:p>
    <w:p>
      <w:pPr>
        <w:ind w:firstLine="420"/>
        <w:spacing w:after="160"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spacing w:after="160"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160" w:line="400" w:lineRule="exact"/>
        <w:rPr>
          <w:rFonts w:ascii="宋体" w:hAnsi="宋体"/>
          <w:szCs w:val="21"/>
        </w:rPr>
      </w:pPr>
      <w:r>
        <w:rPr>
          <w:rFonts w:hint="eastAsia" w:ascii="宋体" w:hAnsi="宋体"/>
          <w:szCs w:val="21"/>
        </w:rPr>
        <w:t xml:space="preserve">8.2 保证</w:t>
      </w:r>
      <w:r/>
    </w:p>
    <w:p>
      <w:pPr>
        <w:ind w:firstLine="420"/>
        <w:spacing w:after="160"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spacing w:after="160"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spacing w:after="160"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spacing w:after="160"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160" w:line="400" w:lineRule="exact"/>
        <w:rPr>
          <w:rFonts w:ascii="Times New Roman" w:hAnsi="Times New Roman"/>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spacing w:after="160" w:line="400" w:lineRule="exact"/>
        <w:rPr>
          <w:rFonts w:ascii="宋体" w:hAnsi="宋体"/>
          <w:b/>
          <w:bCs/>
          <w:sz w:val="24"/>
        </w:rPr>
      </w:pPr>
      <w:r>
        <w:rPr>
          <w:rFonts w:hint="eastAsia" w:ascii="宋体" w:hAnsi="宋体"/>
          <w:b/>
          <w:bCs/>
          <w:sz w:val="24"/>
        </w:rPr>
        <w:t xml:space="preserve">9.权利瑕疵担保</w:t>
      </w:r>
      <w:r/>
    </w:p>
    <w:p>
      <w:pPr>
        <w:ind w:firstLine="420"/>
        <w:spacing w:after="160" w:line="400" w:lineRule="exact"/>
        <w:rPr>
          <w:rFonts w:ascii="宋体" w:hAnsi="宋体"/>
          <w:szCs w:val="21"/>
        </w:rPr>
      </w:pPr>
      <w:r>
        <w:rPr>
          <w:rFonts w:hint="eastAsia" w:ascii="宋体" w:hAnsi="宋体"/>
          <w:szCs w:val="21"/>
        </w:rPr>
        <w:t xml:space="preserve">9.1 乙方保证对其出售的货物享有合法的权利。</w:t>
      </w:r>
      <w:r/>
    </w:p>
    <w:p>
      <w:pPr>
        <w:ind w:firstLine="420"/>
        <w:spacing w:after="160" w:line="400" w:lineRule="exact"/>
        <w:rPr>
          <w:rFonts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spacing w:after="160" w:line="400" w:lineRule="exact"/>
        <w:rPr>
          <w:rFonts w:ascii="宋体" w:hAnsi="宋体"/>
          <w:szCs w:val="21"/>
        </w:rPr>
      </w:pPr>
      <w:r>
        <w:rPr>
          <w:rFonts w:hint="eastAsia" w:ascii="宋体" w:hAnsi="宋体"/>
          <w:szCs w:val="21"/>
        </w:rPr>
        <w:t xml:space="preserve">9.3 如甲方使用上述货物构成对第三人侵权的，则由乙方承担全部责任。</w:t>
      </w:r>
      <w:r/>
    </w:p>
    <w:p>
      <w:pPr>
        <w:spacing w:after="160" w:line="400" w:lineRule="exact"/>
        <w:rPr>
          <w:rFonts w:ascii="宋体" w:hAnsi="宋体"/>
          <w:b/>
          <w:bCs/>
          <w:sz w:val="24"/>
        </w:rPr>
      </w:pPr>
      <w:r>
        <w:rPr>
          <w:rFonts w:hint="eastAsia" w:ascii="宋体" w:hAnsi="宋体"/>
          <w:b/>
          <w:bCs/>
          <w:sz w:val="24"/>
        </w:rPr>
        <w:t xml:space="preserve">10. 知识产权保护</w:t>
      </w:r>
      <w:r/>
    </w:p>
    <w:p>
      <w:pPr>
        <w:ind w:firstLine="420"/>
        <w:spacing w:after="160" w:line="400" w:lineRule="exact"/>
        <w:rPr>
          <w:rFonts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szCs w:val="21"/>
        </w:rPr>
        <w:t xml:space="preserve">。</w:t>
      </w:r>
      <w:r/>
    </w:p>
    <w:p>
      <w:pPr>
        <w:spacing w:after="160" w:line="400" w:lineRule="exact"/>
        <w:rPr>
          <w:rFonts w:ascii="宋体" w:hAnsi="宋体"/>
          <w:b/>
          <w:bCs/>
          <w:sz w:val="24"/>
        </w:rPr>
      </w:pPr>
      <w:r>
        <w:rPr>
          <w:rFonts w:hint="eastAsia" w:ascii="宋体" w:hAnsi="宋体"/>
          <w:b/>
          <w:bCs/>
          <w:sz w:val="24"/>
        </w:rPr>
        <w:t xml:space="preserve">11. 保密义务</w:t>
      </w:r>
      <w:r/>
    </w:p>
    <w:p>
      <w:pPr>
        <w:ind w:firstLine="420"/>
        <w:spacing w:after="160"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after="160" w:line="400" w:lineRule="exact"/>
        <w:rPr>
          <w:rFonts w:ascii="宋体" w:hAnsi="宋体"/>
          <w:b/>
          <w:bCs/>
          <w:sz w:val="24"/>
        </w:rPr>
      </w:pPr>
      <w:r>
        <w:rPr>
          <w:rFonts w:hint="eastAsia" w:ascii="宋体" w:hAnsi="宋体"/>
          <w:b/>
          <w:bCs/>
          <w:sz w:val="24"/>
        </w:rPr>
        <w:t xml:space="preserve">12. 合同价款支付</w:t>
      </w:r>
      <w:r/>
    </w:p>
    <w:p>
      <w:pPr>
        <w:ind w:firstLine="420"/>
        <w:spacing w:after="160" w:line="400" w:lineRule="exact"/>
        <w:rPr>
          <w:rFonts w:ascii="宋体" w:hAnsi="宋体" w:cs="宋体"/>
          <w:szCs w:val="15"/>
        </w:rPr>
      </w:pPr>
      <w:r>
        <w:rPr>
          <w:rFonts w:hint="eastAsia" w:ascii="宋体" w:hAnsi="宋体" w:cs="宋体"/>
          <w:szCs w:val="15"/>
        </w:rPr>
        <w:t xml:space="preserve">12.1 合同价款支付按照国库集中支付制度及财政管理相关规定执行。</w:t>
      </w:r>
      <w:r/>
    </w:p>
    <w:p>
      <w:pPr>
        <w:ind w:firstLine="420"/>
        <w:spacing w:after="160" w:line="400" w:lineRule="exact"/>
        <w:rPr>
          <w:rFonts w:ascii="宋体" w:hAnsi="宋体" w:cs="宋体"/>
          <w:szCs w:val="15"/>
        </w:rPr>
      </w:pPr>
      <w:r>
        <w:rPr>
          <w:rFonts w:hint="eastAsia" w:ascii="宋体" w:hAnsi="宋体" w:cs="宋体"/>
          <w:szCs w:val="15"/>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ascii="宋体" w:hAnsi="宋体"/>
          <w:b/>
          <w:bCs/>
          <w:sz w:val="24"/>
        </w:rPr>
      </w:pPr>
      <w:r>
        <w:rPr>
          <w:rFonts w:hint="eastAsia" w:ascii="宋体" w:hAnsi="宋体"/>
          <w:b/>
          <w:bCs/>
          <w:sz w:val="24"/>
        </w:rPr>
        <w:t xml:space="preserve">13. 履约保证金（本项目无需缴纳）</w:t>
      </w:r>
      <w:r/>
    </w:p>
    <w:p>
      <w:pPr>
        <w:ind w:firstLine="420"/>
        <w:spacing w:after="160"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spacing w:after="160"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160" w:line="400" w:lineRule="exact"/>
        <w:rPr>
          <w:rFonts w:ascii="Times New Roman" w:hAnsi="Times New Roman"/>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spacing w:after="160" w:line="400" w:lineRule="exact"/>
        <w:rPr>
          <w:rFonts w:ascii="宋体" w:hAnsi="宋体"/>
          <w:b/>
          <w:sz w:val="24"/>
        </w:rPr>
      </w:pPr>
      <w:r>
        <w:rPr>
          <w:rFonts w:hint="eastAsia" w:ascii="宋体" w:hAnsi="宋体"/>
          <w:b/>
          <w:bCs/>
          <w:sz w:val="24"/>
        </w:rPr>
        <w:t xml:space="preserve">14. </w:t>
      </w:r>
      <w:r>
        <w:rPr>
          <w:rFonts w:hint="eastAsia" w:ascii="Times New Roman" w:hAnsi="Times New Roman"/>
          <w:b/>
          <w:sz w:val="24"/>
        </w:rPr>
        <w:t xml:space="preserve">售后</w:t>
      </w:r>
      <w:r>
        <w:rPr>
          <w:rFonts w:hint="eastAsia" w:ascii="宋体" w:hAnsi="宋体"/>
          <w:b/>
          <w:sz w:val="24"/>
        </w:rPr>
        <w:t xml:space="preserve">服务</w:t>
      </w:r>
      <w:r/>
    </w:p>
    <w:p>
      <w:pPr>
        <w:ind w:firstLine="420"/>
        <w:spacing w:after="160"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spacing w:after="160"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spacing w:after="160"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spacing w:after="160"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spacing w:after="160"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ind w:firstLine="420"/>
        <w:spacing w:after="160" w:line="400" w:lineRule="exact"/>
        <w:rPr>
          <w:rFonts w:ascii="宋体" w:hAnsi="宋体" w:cs="宋体"/>
          <w:szCs w:val="21"/>
        </w:rPr>
      </w:pPr>
      <w:r>
        <w:rPr>
          <w:rFonts w:hint="eastAsia" w:ascii="宋体" w:hAnsi="宋体" w:cs="宋体"/>
          <w:szCs w:val="21"/>
        </w:rPr>
        <w:t xml:space="preserve">（5）依照法律、行政法规的规定或者按照</w:t>
      </w:r>
      <w:r>
        <w:rPr>
          <w:rFonts w:hint="eastAsia" w:ascii="宋体" w:hAnsi="宋体" w:cs="宋体"/>
          <w:b/>
          <w:bCs/>
          <w:szCs w:val="21"/>
        </w:rPr>
        <w:t xml:space="preserve">【政府采购合同专用条款】</w:t>
      </w:r>
      <w:r>
        <w:rPr>
          <w:rFonts w:hint="eastAsia" w:ascii="宋体" w:hAnsi="宋体" w:cs="宋体"/>
          <w:szCs w:val="21"/>
        </w:rPr>
        <w:t xml:space="preserve">约定，货物在有效使用年限届满后应予回收的，乙方负有自行或者委托第三人对货物予以回收的义务；</w:t>
      </w:r>
      <w:r/>
    </w:p>
    <w:p>
      <w:pPr>
        <w:ind w:firstLine="420"/>
        <w:spacing w:after="160"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spacing w:after="160"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spacing w:after="160" w:line="400" w:lineRule="exact"/>
        <w:rPr>
          <w:rFonts w:ascii="宋体" w:hAnsi="宋体"/>
          <w:b/>
          <w:bCs/>
          <w:sz w:val="24"/>
        </w:rPr>
      </w:pPr>
      <w:r>
        <w:rPr>
          <w:rFonts w:hint="eastAsia" w:ascii="宋体" w:hAnsi="宋体"/>
          <w:b/>
          <w:bCs/>
          <w:sz w:val="24"/>
        </w:rPr>
        <w:t xml:space="preserve">15. 违约责任</w:t>
      </w:r>
      <w:r/>
    </w:p>
    <w:p>
      <w:pPr>
        <w:ind w:firstLine="420"/>
        <w:spacing w:after="160" w:line="400" w:lineRule="exact"/>
        <w:rPr>
          <w:rFonts w:ascii="宋体" w:hAnsi="宋体"/>
          <w:bCs/>
          <w:szCs w:val="21"/>
        </w:rPr>
      </w:pPr>
      <w:r>
        <w:rPr>
          <w:rFonts w:hint="eastAsia" w:ascii="宋体" w:hAnsi="宋体"/>
          <w:bCs/>
          <w:szCs w:val="21"/>
        </w:rPr>
        <w:t xml:space="preserve">15.1质量瑕疵的违约责任</w:t>
      </w:r>
      <w:r/>
    </w:p>
    <w:p>
      <w:pPr>
        <w:ind w:firstLine="420"/>
        <w:spacing w:after="160"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spacing w:after="160" w:line="400" w:lineRule="exact"/>
        <w:rPr>
          <w:rFonts w:ascii="宋体" w:hAnsi="宋体"/>
          <w:bCs/>
          <w:szCs w:val="21"/>
        </w:rPr>
      </w:pPr>
      <w:r>
        <w:rPr>
          <w:rFonts w:hint="eastAsia" w:ascii="宋体" w:hAnsi="宋体"/>
          <w:bCs/>
          <w:szCs w:val="21"/>
        </w:rPr>
        <w:t xml:space="preserve">15.2 迟延交货的违约责任</w:t>
      </w:r>
      <w:r/>
    </w:p>
    <w:p>
      <w:pPr>
        <w:ind w:firstLine="420"/>
        <w:spacing w:after="160"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160"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spacing w:after="160" w:line="400" w:lineRule="exact"/>
        <w:rPr>
          <w:rFonts w:ascii="宋体" w:hAnsi="宋体"/>
          <w:szCs w:val="21"/>
        </w:rPr>
      </w:pPr>
      <w:r>
        <w:rPr>
          <w:rFonts w:hint="eastAsia" w:ascii="宋体" w:hAnsi="宋体"/>
          <w:szCs w:val="21"/>
        </w:rPr>
        <w:t xml:space="preserve">15.3 迟延支付的违约责任</w:t>
      </w:r>
      <w:r/>
    </w:p>
    <w:p>
      <w:pPr>
        <w:ind w:firstLine="420"/>
        <w:spacing w:after="160"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spacing w:after="160"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36"/>
        </w:numPr>
        <w:spacing w:after="160" w:line="400" w:lineRule="exact"/>
        <w:rPr>
          <w:rFonts w:ascii="宋体" w:hAnsi="宋体"/>
          <w:b/>
          <w:sz w:val="24"/>
        </w:rPr>
      </w:pPr>
      <w:r>
        <w:rPr>
          <w:rFonts w:hint="eastAsia" w:ascii="宋体" w:hAnsi="宋体"/>
          <w:b/>
          <w:sz w:val="24"/>
        </w:rPr>
        <w:t xml:space="preserve">合同变更、中止与终止</w:t>
      </w:r>
      <w:r/>
    </w:p>
    <w:p>
      <w:pPr>
        <w:spacing w:after="160" w:line="400" w:lineRule="exact"/>
        <w:rPr>
          <w:rFonts w:ascii="宋体" w:hAnsi="宋体"/>
          <w:szCs w:val="21"/>
        </w:rPr>
      </w:pPr>
      <w:r>
        <w:rPr>
          <w:rFonts w:hint="eastAsia" w:ascii="宋体" w:hAnsi="宋体"/>
          <w:szCs w:val="21"/>
        </w:rPr>
        <w:t xml:space="preserve">    16.1合同的变更</w:t>
      </w:r>
      <w:r/>
    </w:p>
    <w:p>
      <w:pPr>
        <w:ind w:firstLine="420"/>
        <w:spacing w:after="160"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after="160" w:line="400" w:lineRule="exact"/>
        <w:rPr>
          <w:rFonts w:ascii="宋体" w:hAnsi="宋体"/>
          <w:szCs w:val="21"/>
        </w:rPr>
      </w:pPr>
      <w:r>
        <w:rPr>
          <w:rFonts w:hint="eastAsia" w:ascii="宋体" w:hAnsi="宋体"/>
          <w:szCs w:val="21"/>
        </w:rPr>
        <w:t xml:space="preserve">16.2合同的中止</w:t>
      </w:r>
      <w:r/>
    </w:p>
    <w:p>
      <w:pPr>
        <w:ind w:firstLine="420"/>
        <w:spacing w:after="160"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spacing w:after="160"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160" w:line="400" w:lineRule="exact"/>
        <w:rPr>
          <w:rFonts w:ascii="华文楷体" w:hAnsi="华文楷体" w:eastAsia="华文楷体" w:cs="华文楷体"/>
          <w:szCs w:val="21"/>
        </w:rPr>
      </w:pPr>
      <w:r>
        <w:rPr>
          <w:rFonts w:hint="eastAsia" w:ascii="宋体" w:hAnsi="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160" w:line="400" w:lineRule="exact"/>
        <w:rPr>
          <w:rFonts w:ascii="Times New Roman" w:hAnsi="Times New Roman"/>
        </w:rPr>
      </w:pPr>
      <w:r>
        <w:rPr>
          <w:rFonts w:hint="eastAsia" w:ascii="宋体" w:hAnsi="宋体"/>
          <w:szCs w:val="21"/>
        </w:rPr>
        <w:t xml:space="preserve">（4）甲方不得以行政区划调整、政府换届、机构或者职能调整以及相关责任人更替为由中止合同。</w:t>
      </w:r>
      <w:r/>
    </w:p>
    <w:p>
      <w:pPr>
        <w:ind w:firstLine="420"/>
        <w:spacing w:after="160" w:line="400" w:lineRule="exact"/>
        <w:rPr>
          <w:rFonts w:ascii="宋体" w:hAnsi="宋体"/>
          <w:szCs w:val="21"/>
        </w:rPr>
      </w:pPr>
      <w:r>
        <w:rPr>
          <w:rFonts w:hint="eastAsia" w:ascii="宋体" w:hAnsi="宋体"/>
          <w:szCs w:val="21"/>
        </w:rPr>
        <w:t xml:space="preserve">16.3合同的终止</w:t>
      </w:r>
      <w:r/>
    </w:p>
    <w:p>
      <w:pPr>
        <w:ind w:firstLine="420"/>
        <w:spacing w:after="160" w:line="400" w:lineRule="exact"/>
        <w:rPr>
          <w:rFonts w:ascii="宋体" w:hAnsi="宋体"/>
          <w:szCs w:val="21"/>
        </w:rPr>
      </w:pPr>
      <w:r>
        <w:rPr>
          <w:rFonts w:hint="eastAsia" w:ascii="宋体" w:hAnsi="宋体"/>
          <w:szCs w:val="21"/>
        </w:rPr>
        <w:t xml:space="preserve">（1）合同因有效期限届满而终止；</w:t>
      </w:r>
      <w:r/>
    </w:p>
    <w:p>
      <w:pPr>
        <w:ind w:firstLine="420"/>
        <w:spacing w:after="160"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ind w:firstLine="440"/>
        <w:spacing w:after="160" w:line="400" w:lineRule="exact"/>
        <w:rPr>
          <w:rFonts w:ascii="宋体" w:hAnsi="宋体" w:eastAsia="华文楷体" w:cs="华文楷体"/>
          <w:szCs w:val="21"/>
        </w:rPr>
      </w:pPr>
      <w:r>
        <w:rPr>
          <w:rFonts w:hint="eastAsia" w:ascii="宋体" w:hAnsi="宋体" w:eastAsia="华文楷体" w:cs="华文楷体"/>
          <w:szCs w:val="21"/>
        </w:rPr>
        <w:t xml:space="preserve">16.4 </w:t>
      </w:r>
      <w:r>
        <w:rPr>
          <w:rFonts w:hint="eastAsia" w:ascii="宋体" w:hAnsi="宋体"/>
          <w:szCs w:val="21"/>
        </w:rPr>
        <w:t xml:space="preserve">涉及国家利益、社会公共利益的情形</w:t>
      </w:r>
      <w:r/>
    </w:p>
    <w:p>
      <w:pPr>
        <w:ind w:firstLine="420"/>
        <w:spacing w:after="160" w:line="400" w:lineRule="exact"/>
        <w:rPr>
          <w:rFonts w:ascii="华文楷体" w:hAnsi="华文楷体" w:eastAsia="华文楷体" w:cs="华文楷体"/>
          <w:szCs w:val="21"/>
        </w:rPr>
      </w:pPr>
      <w:r>
        <w:rPr>
          <w:rFonts w:hint="eastAsia" w:ascii="宋体" w:hAnsi="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spacing w:after="160" w:line="400" w:lineRule="exact"/>
        <w:rPr>
          <w:rFonts w:ascii="宋体" w:hAnsi="宋体"/>
          <w:b/>
          <w:bCs/>
          <w:sz w:val="24"/>
        </w:rPr>
      </w:pPr>
      <w:r>
        <w:rPr>
          <w:rFonts w:hint="eastAsia" w:ascii="宋体" w:hAnsi="宋体"/>
          <w:b/>
          <w:bCs/>
          <w:sz w:val="24"/>
        </w:rPr>
        <w:t xml:space="preserve">17. 合同分包</w:t>
      </w:r>
      <w:r/>
    </w:p>
    <w:p>
      <w:pPr>
        <w:ind w:firstLine="420"/>
        <w:spacing w:after="160"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spacing w:after="160"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spacing w:after="160" w:line="400" w:lineRule="exact"/>
        <w:rPr>
          <w:rFonts w:ascii="宋体" w:hAnsi="宋体"/>
          <w:b/>
          <w:bCs/>
          <w:sz w:val="24"/>
        </w:rPr>
      </w:pPr>
      <w:r>
        <w:rPr>
          <w:rFonts w:hint="eastAsia" w:ascii="宋体" w:hAnsi="宋体"/>
          <w:b/>
          <w:bCs/>
          <w:sz w:val="24"/>
        </w:rPr>
        <w:t xml:space="preserve">18. 不可抗力</w:t>
      </w:r>
      <w:r/>
    </w:p>
    <w:p>
      <w:pPr>
        <w:ind w:firstLine="420"/>
        <w:spacing w:after="160"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spacing w:after="160"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spacing w:after="160"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160" w:line="400" w:lineRule="exact"/>
        <w:rPr>
          <w:rFonts w:ascii="宋体" w:hAnsi="宋体"/>
          <w:b/>
          <w:bCs/>
          <w:sz w:val="24"/>
        </w:rPr>
      </w:pPr>
      <w:r>
        <w:rPr>
          <w:rFonts w:hint="eastAsia" w:ascii="宋体" w:hAnsi="宋体"/>
          <w:b/>
          <w:bCs/>
          <w:sz w:val="24"/>
        </w:rPr>
        <w:t xml:space="preserve">19. 解决争议的方法</w:t>
      </w:r>
      <w:r/>
    </w:p>
    <w:p>
      <w:pPr>
        <w:ind w:firstLine="420"/>
        <w:spacing w:after="160" w:line="400" w:lineRule="exact"/>
        <w:rPr>
          <w:rFonts w:ascii="宋体" w:hAnsi="宋体" w:cs="宋体"/>
          <w:szCs w:val="21"/>
        </w:rPr>
      </w:pPr>
      <w:r>
        <w:rPr>
          <w:rFonts w:hint="eastAsia" w:ascii="宋体" w:hAnsi="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160" w:line="400" w:lineRule="exact"/>
        <w:rPr>
          <w:rFonts w:ascii="宋体" w:hAnsi="宋体" w:cs="宋体"/>
          <w:szCs w:val="21"/>
        </w:rPr>
      </w:pPr>
      <w:r>
        <w:rPr>
          <w:rFonts w:hint="eastAsia" w:ascii="宋体" w:hAnsi="宋体" w:cs="宋体"/>
          <w:szCs w:val="21"/>
        </w:rPr>
        <w:t xml:space="preserve">19.2 选择仲裁的，应在</w:t>
      </w:r>
      <w:r>
        <w:rPr>
          <w:rFonts w:hint="eastAsia" w:ascii="宋体" w:hAnsi="宋体" w:cs="宋体"/>
          <w:b/>
          <w:bCs/>
          <w:szCs w:val="21"/>
        </w:rPr>
        <w:t xml:space="preserve">【政府采购合同专用条款】</w:t>
      </w:r>
      <w:r>
        <w:rPr>
          <w:rFonts w:hint="eastAsia" w:ascii="宋体" w:hAnsi="宋体" w:cs="宋体"/>
          <w:szCs w:val="21"/>
        </w:rPr>
        <w:t xml:space="preserve">中明确仲裁机构及仲裁地；通过诉讼方式解决的，可以在</w:t>
      </w:r>
      <w:r>
        <w:rPr>
          <w:rFonts w:hint="eastAsia" w:ascii="宋体" w:hAnsi="宋体" w:cs="宋体"/>
          <w:b/>
          <w:bCs/>
          <w:szCs w:val="21"/>
        </w:rPr>
        <w:t xml:space="preserve">【政府采购合同专用条款】</w:t>
      </w:r>
      <w:r>
        <w:rPr>
          <w:rFonts w:hint="eastAsia" w:ascii="宋体" w:hAnsi="宋体" w:cs="宋体"/>
          <w:szCs w:val="21"/>
        </w:rPr>
        <w:t xml:space="preserve">中进一步约定选择与争议有实际联系的地点的人民法院管辖，但管辖法院的约定不得违反级别管辖和专属管辖的规定。</w:t>
      </w:r>
      <w:r/>
    </w:p>
    <w:p>
      <w:pPr>
        <w:ind w:firstLine="420"/>
        <w:spacing w:after="160" w:line="400" w:lineRule="exact"/>
        <w:rPr>
          <w:rFonts w:ascii="宋体" w:hAnsi="宋体" w:cs="宋体"/>
          <w:szCs w:val="21"/>
        </w:rPr>
      </w:pPr>
      <w:r>
        <w:rPr>
          <w:rFonts w:hint="eastAsia" w:ascii="宋体" w:hAnsi="宋体" w:cs="宋体"/>
          <w:szCs w:val="21"/>
        </w:rPr>
        <w:t xml:space="preserve">19.3 如甲乙双方有争议的事项不影响合同其他部分的履行，在争议解决期间，合同其他部分应当继续履行。</w:t>
      </w:r>
      <w:r/>
    </w:p>
    <w:p>
      <w:pPr>
        <w:spacing w:after="160" w:line="400" w:lineRule="exact"/>
        <w:rPr>
          <w:rFonts w:ascii="宋体" w:hAnsi="宋体"/>
          <w:sz w:val="24"/>
        </w:rPr>
      </w:pPr>
      <w:r>
        <w:rPr>
          <w:rFonts w:hint="eastAsia" w:ascii="宋体" w:hAnsi="宋体"/>
          <w:b/>
          <w:sz w:val="24"/>
        </w:rPr>
        <w:t xml:space="preserve">20. 政府采购政策</w:t>
      </w:r>
      <w:r/>
    </w:p>
    <w:p>
      <w:pPr>
        <w:ind w:firstLine="420"/>
        <w:spacing w:after="160"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spacing w:after="160"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00"/>
        <w:spacing w:line="400" w:lineRule="exact"/>
        <w:rPr>
          <w:rFonts w:ascii="Times New Roman" w:hAnsi="Times New Roman"/>
          <w:sz w:val="20"/>
        </w:rPr>
      </w:pPr>
      <w:r>
        <w:rPr>
          <w:rFonts w:ascii="宋体" w:hAnsi="宋体"/>
          <w:sz w:val="20"/>
          <w:szCs w:val="21"/>
        </w:rPr>
        <w:t xml:space="preserve">2</w:t>
      </w:r>
      <w:r>
        <w:rPr>
          <w:rFonts w:hint="eastAsia" w:ascii="宋体" w:hAnsi="宋体"/>
          <w:sz w:val="2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160" w:line="400" w:lineRule="exact"/>
        <w:rPr>
          <w:rFonts w:ascii="宋体" w:hAnsi="宋体"/>
          <w:b/>
          <w:sz w:val="24"/>
        </w:rPr>
      </w:pPr>
      <w:r>
        <w:rPr>
          <w:rFonts w:hint="eastAsia" w:ascii="宋体" w:hAnsi="宋体"/>
          <w:b/>
          <w:sz w:val="24"/>
        </w:rPr>
        <w:t xml:space="preserve">21. 法律适用</w:t>
      </w:r>
      <w:r/>
    </w:p>
    <w:p>
      <w:pPr>
        <w:ind w:firstLine="420"/>
        <w:spacing w:after="160" w:line="400" w:lineRule="exact"/>
        <w:rPr>
          <w:rFonts w:ascii="宋体" w:hAnsi="宋体" w:cs="宋体"/>
          <w:szCs w:val="21"/>
        </w:rPr>
      </w:pPr>
      <w:r>
        <w:rPr>
          <w:rFonts w:hint="eastAsia" w:ascii="宋体" w:hAnsi="宋体" w:cs="宋体"/>
          <w:szCs w:val="21"/>
        </w:rPr>
        <w:t xml:space="preserve">21.1 本合同的订立、生效、解释、履行及与本合同有关的争议解决，均适用法律、行政法规。</w:t>
      </w:r>
      <w:r/>
    </w:p>
    <w:p>
      <w:pPr>
        <w:ind w:firstLine="420"/>
        <w:spacing w:after="160" w:line="400" w:lineRule="exact"/>
        <w:rPr>
          <w:rFonts w:ascii="宋体" w:hAnsi="宋体" w:cs="宋体"/>
          <w:szCs w:val="21"/>
        </w:rPr>
      </w:pPr>
      <w:r>
        <w:rPr>
          <w:rFonts w:hint="eastAsia" w:ascii="宋体" w:hAnsi="宋体" w:cs="宋体"/>
          <w:szCs w:val="21"/>
        </w:rPr>
        <w:t xml:space="preserve">21.2 本合同条款与法律、行政法规的强制性规定不一致的，双方当事人应按照法律、行政法规的强制性规定修改本合同的相关条款。</w:t>
      </w:r>
      <w:r/>
    </w:p>
    <w:p>
      <w:pPr>
        <w:numPr>
          <w:ilvl w:val="255"/>
          <w:numId w:val="0"/>
        </w:numPr>
        <w:spacing w:after="160" w:line="400" w:lineRule="exact"/>
        <w:rPr>
          <w:rFonts w:ascii="宋体" w:hAnsi="宋体"/>
          <w:b/>
          <w:sz w:val="24"/>
        </w:rPr>
      </w:pPr>
      <w:r>
        <w:rPr>
          <w:rFonts w:hint="eastAsia" w:ascii="宋体" w:hAnsi="宋体"/>
          <w:b/>
          <w:sz w:val="24"/>
        </w:rPr>
        <w:t xml:space="preserve">22. 通知</w:t>
      </w:r>
      <w:r/>
    </w:p>
    <w:p>
      <w:pPr>
        <w:ind w:firstLine="420"/>
        <w:spacing w:after="160" w:line="400" w:lineRule="exact"/>
        <w:rPr>
          <w:rFonts w:ascii="宋体" w:hAnsi="宋体" w:cs="宋体"/>
          <w:szCs w:val="21"/>
        </w:rPr>
      </w:pPr>
      <w:r>
        <w:rPr>
          <w:rFonts w:hint="eastAsia" w:ascii="宋体" w:hAnsi="宋体" w:cs="宋体"/>
          <w:szCs w:val="21"/>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rPr>
          <w:rFonts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spacing w:after="160"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spacing w:after="160"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37"/>
        </w:numPr>
        <w:spacing w:after="160" w:line="400" w:lineRule="exact"/>
        <w:rPr>
          <w:rFonts w:ascii="宋体" w:hAnsi="宋体"/>
          <w:b/>
          <w:bCs/>
          <w:sz w:val="24"/>
        </w:rPr>
      </w:pPr>
      <w:r>
        <w:rPr>
          <w:rFonts w:hint="eastAsia" w:ascii="宋体" w:hAnsi="宋体"/>
          <w:b/>
          <w:bCs/>
          <w:sz w:val="24"/>
        </w:rPr>
        <w:t xml:space="preserve">合同未尽事项</w:t>
      </w:r>
      <w:r/>
    </w:p>
    <w:p>
      <w:pPr>
        <w:ind w:firstLine="420"/>
        <w:spacing w:after="160"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spacing w:after="160"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4" w:name="_Toc20313"/>
      <w:r/>
      <w:r/>
    </w:p>
    <w:p>
      <w:pPr>
        <w:jc w:val="center"/>
        <w:spacing w:after="160" w:line="278" w:lineRule="auto"/>
        <w:rPr>
          <w:rFonts w:ascii="黑体" w:hAnsi="华文中宋" w:eastAsia="黑体"/>
          <w:sz w:val="28"/>
          <w:szCs w:val="28"/>
        </w:rPr>
      </w:pPr>
      <w:r>
        <w:rPr>
          <w:rFonts w:hint="eastAsia" w:ascii="黑体" w:hAnsi="华文中宋" w:eastAsia="黑体"/>
          <w:sz w:val="28"/>
          <w:szCs w:val="28"/>
        </w:rPr>
        <w:br w:type="page" w:clear="all"/>
      </w:r>
      <w:r/>
    </w:p>
    <w:p>
      <w:pPr>
        <w:numPr>
          <w:ilvl w:val="1"/>
          <w:numId w:val="30"/>
        </w:numPr>
        <w:jc w:val="center"/>
        <w:spacing w:before="156" w:after="156" w:line="360" w:lineRule="auto"/>
        <w:rPr>
          <w:rFonts w:ascii="黑体" w:hAnsi="华文中宋" w:eastAsia="黑体"/>
          <w:sz w:val="28"/>
          <w:szCs w:val="28"/>
        </w:rPr>
        <w:outlineLvl w:val="1"/>
      </w:pPr>
      <w:r>
        <w:rPr>
          <w:rFonts w:hint="eastAsia" w:ascii="黑体" w:hAnsi="华文中宋" w:eastAsia="黑体"/>
          <w:sz w:val="28"/>
          <w:szCs w:val="28"/>
        </w:rPr>
        <w:t xml:space="preserve">第三节 政府采购合同专用条款</w:t>
      </w:r>
      <w:bookmarkEnd w:id="4"/>
      <w:r/>
      <w:r/>
    </w:p>
    <w:tbl>
      <w:tblPr>
        <w:tblStyle w:val="80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Times New Roman" w:hAnsi="Times New Roman"/>
              </w:rPr>
            </w:pPr>
            <w:r>
              <w:rPr>
                <w:rFonts w:hint="eastAsia" w:ascii="宋体" w:hAnsi="宋体"/>
                <w:szCs w:val="21"/>
              </w:rPr>
              <w:t xml:space="preserve">第5.4款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spacing w:after="160" w:line="278" w:lineRule="auto"/>
              <w:rPr>
                <w:rFonts w:ascii="Times New Roman" w:hAnsi="Times New Roman"/>
              </w:rPr>
            </w:pPr>
            <w:r>
              <w:rPr>
                <w:rFonts w:ascii="Times New Roman" w:hAnsi="Times New Roman"/>
              </w:rPr>
            </w:r>
            <w:r/>
          </w:p>
        </w:tc>
      </w:tr>
      <w:tr>
        <w:trPr>
          <w:trHeight w:val="667"/>
        </w:trPr>
        <w:tc>
          <w:tcPr>
            <w:tcW w:w="1607" w:type="dxa"/>
            <w:vAlign w:val="center"/>
            <w:vMerge w:val="continue"/>
            <w:textDirection w:val="lrTb"/>
            <w:noWrap w:val="false"/>
          </w:tcPr>
          <w:p>
            <w:pPr>
              <w:jc w:val="center"/>
              <w:spacing w:after="160" w:line="278" w:lineRule="auto"/>
              <w:rPr>
                <w:rFonts w:ascii="宋体" w:hAnsi="宋体"/>
                <w:szCs w:val="21"/>
              </w:rPr>
            </w:pPr>
            <w:r>
              <w:rPr>
                <w:rFonts w:ascii="宋体" w:hAnsi="宋体"/>
                <w:szCs w:val="21"/>
              </w:rPr>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pPr>
              <w:spacing w:after="160" w:line="278" w:lineRule="auto"/>
              <w:rPr>
                <w:rFonts w:ascii="Times New Roman" w:hAnsi="Times New Roman"/>
              </w:rPr>
            </w:pPr>
            <w:r>
              <w:rPr>
                <w:rFonts w:ascii="Times New Roman" w:hAnsi="Times New Roman"/>
              </w:rPr>
            </w:r>
            <w:r/>
          </w:p>
        </w:tc>
      </w:tr>
      <w:tr>
        <w:trPr>
          <w:trHeight w:val="772"/>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spacing w:after="160" w:line="278" w:lineRule="auto"/>
              <w:rPr>
                <w:rFonts w:ascii="Times New Roman" w:hAnsi="Times New Roman"/>
              </w:rPr>
            </w:pPr>
            <w:r>
              <w:rPr>
                <w:rFonts w:ascii="Times New Roman" w:hAnsi="Times New Roman"/>
              </w:rPr>
            </w:r>
            <w:r/>
          </w:p>
        </w:tc>
      </w:tr>
      <w:tr>
        <w:trPr>
          <w:trHeight w:val="667"/>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pPr>
              <w:spacing w:after="160" w:line="278" w:lineRule="auto"/>
              <w:rPr>
                <w:rFonts w:ascii="Times New Roman" w:hAnsi="Times New Roman"/>
              </w:rPr>
            </w:pPr>
            <w:r>
              <w:rPr>
                <w:rFonts w:ascii="Times New Roman" w:hAnsi="Times New Roman"/>
              </w:rPr>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spacing w:after="160" w:line="278" w:lineRule="auto"/>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货物质量缺陷</w:t>
            </w:r>
            <w:r/>
          </w:p>
          <w:p>
            <w:pPr>
              <w:spacing w:after="160" w:line="278" w:lineRule="auto"/>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spacing w:after="160" w:line="278" w:lineRule="auto"/>
              <w:rPr>
                <w:rFonts w:ascii="宋体" w:hAnsi="宋体" w:cs="宋体"/>
                <w:szCs w:val="21"/>
              </w:rPr>
            </w:pPr>
            <w:r>
              <w:rPr>
                <w:rFonts w:hint="eastAsia" w:ascii="宋体" w:hAnsi="宋体" w:cs="宋体"/>
                <w:szCs w:val="21"/>
              </w:rPr>
              <w:t xml:space="preserve">第二节</w:t>
            </w:r>
            <w:r/>
          </w:p>
          <w:p>
            <w:pPr>
              <w:jc w:val="center"/>
              <w:spacing w:after="160" w:line="400" w:lineRule="exact"/>
              <w:rPr>
                <w:rFonts w:ascii="华文楷体" w:hAnsi="华文楷体" w:eastAsia="华文楷体" w:cs="华文楷体"/>
                <w:szCs w:val="21"/>
              </w:rPr>
            </w:pPr>
            <w:r>
              <w:rPr>
                <w:rFonts w:hint="eastAsia" w:ascii="宋体" w:hAnsi="宋体" w:cs="宋体"/>
                <w:szCs w:val="21"/>
              </w:rPr>
              <w:t xml:space="preserve">第11.1款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spacing w:after="160" w:line="278" w:lineRule="auto"/>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spacing w:after="160" w:line="278" w:lineRule="auto"/>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spacing w:after="160" w:line="278" w:lineRule="auto"/>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spacing w:after="160" w:line="278" w:lineRule="auto"/>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after="160" w:line="400" w:lineRule="exact"/>
              <w:rPr>
                <w:rFonts w:ascii="宋体" w:hAnsi="宋体" w:cs="宋体"/>
                <w:iCs/>
                <w:szCs w:val="21"/>
              </w:rPr>
            </w:pPr>
            <w:r>
              <w:rPr>
                <w:rFonts w:hint="eastAsia" w:ascii="宋体" w:hAnsi="宋体" w:cs="宋体"/>
                <w:iCs/>
                <w:szCs w:val="21"/>
              </w:rPr>
              <w:t xml:space="preserve">因本合同及合同有关事项发生的争议，按下列第种方式解决：</w:t>
            </w:r>
            <w:r/>
          </w:p>
          <w:p>
            <w:pPr>
              <w:spacing w:after="160" w:line="400" w:lineRule="exact"/>
              <w:rPr>
                <w:rFonts w:ascii="宋体" w:hAnsi="宋体" w:cs="宋体"/>
                <w:iCs/>
                <w:szCs w:val="21"/>
              </w:rPr>
            </w:pPr>
            <w:r>
              <w:rPr>
                <w:rFonts w:hint="eastAsia" w:ascii="宋体" w:hAnsi="宋体" w:cs="宋体"/>
                <w:iCs/>
                <w:szCs w:val="21"/>
              </w:rPr>
              <w:t xml:space="preserve">（1）向仲裁委员会申请仲裁，仲裁地点为；</w:t>
            </w:r>
            <w:r/>
          </w:p>
          <w:p>
            <w:pPr>
              <w:spacing w:after="160" w:line="278" w:lineRule="auto"/>
              <w:rPr>
                <w:rFonts w:ascii="宋体" w:hAnsi="宋体"/>
                <w:szCs w:val="21"/>
                <w:u w:val="single"/>
              </w:rPr>
            </w:pPr>
            <w:r>
              <w:rPr>
                <w:rFonts w:hint="eastAsia" w:ascii="宋体" w:hAnsi="宋体" w:cs="宋体"/>
                <w:iCs/>
                <w:szCs w:val="21"/>
              </w:rPr>
              <w:t xml:space="preserve">（2）向人民法院起诉。</w:t>
            </w:r>
            <w:r/>
          </w:p>
        </w:tc>
      </w:tr>
      <w:tr>
        <w:trPr>
          <w:trHeight w:val="770"/>
        </w:trPr>
        <w:tc>
          <w:tcPr>
            <w:tcW w:w="1607" w:type="dxa"/>
            <w:vAlign w:val="center"/>
            <w:textDirection w:val="lrTb"/>
            <w:noWrap w:val="false"/>
          </w:tcPr>
          <w:p>
            <w:pPr>
              <w:jc w:val="center"/>
              <w:spacing w:after="160" w:line="278" w:lineRule="auto"/>
              <w:rPr>
                <w:rFonts w:ascii="宋体" w:hAnsi="宋体"/>
                <w:szCs w:val="21"/>
              </w:rPr>
            </w:pPr>
            <w:r>
              <w:rPr>
                <w:rFonts w:hint="eastAsia" w:ascii="宋体" w:hAnsi="宋体"/>
                <w:szCs w:val="21"/>
              </w:rPr>
              <w:t xml:space="preserve">第二节</w:t>
            </w:r>
            <w:r/>
          </w:p>
          <w:p>
            <w:pPr>
              <w:jc w:val="center"/>
              <w:spacing w:after="160" w:line="278" w:lineRule="auto"/>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spacing w:after="160" w:line="278" w:lineRule="auto"/>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spacing w:after="160" w:line="278" w:lineRule="auto"/>
              <w:rPr>
                <w:rFonts w:ascii="宋体" w:hAnsi="宋体"/>
                <w:szCs w:val="21"/>
              </w:rPr>
            </w:pPr>
            <w:r>
              <w:rPr>
                <w:rFonts w:ascii="宋体" w:hAnsi="宋体"/>
                <w:szCs w:val="21"/>
              </w:rPr>
            </w:r>
            <w:r/>
          </w:p>
        </w:tc>
      </w:tr>
    </w:tbl>
    <w:p>
      <w:pPr>
        <w:spacing w:before="107" w:line="184" w:lineRule="auto"/>
        <w:rPr>
          <w:rFonts w:ascii="微软雅黑" w:hAnsi="微软雅黑" w:eastAsia="微软雅黑" w:cs="微软雅黑"/>
          <w:spacing w:val="17"/>
          <w:sz w:val="24"/>
        </w:rPr>
      </w:pPr>
      <w:r>
        <w:rPr>
          <w:rFonts w:ascii="微软雅黑" w:hAnsi="微软雅黑" w:eastAsia="微软雅黑" w:cs="微软雅黑"/>
          <w:spacing w:val="17"/>
          <w:sz w:val="24"/>
        </w:rPr>
      </w:r>
      <w:r/>
    </w:p>
    <w:p>
      <w:pPr>
        <w:spacing w:before="107" w:line="184" w:lineRule="auto"/>
        <w:rPr>
          <w:rFonts w:ascii="微软雅黑" w:hAnsi="微软雅黑" w:eastAsia="微软雅黑" w:cs="微软雅黑"/>
          <w:spacing w:val="17"/>
          <w:sz w:val="24"/>
        </w:rPr>
      </w:pPr>
      <w:r>
        <w:rPr>
          <w:rFonts w:ascii="微软雅黑" w:hAnsi="微软雅黑" w:eastAsia="微软雅黑" w:cs="微软雅黑"/>
          <w:spacing w:val="17"/>
          <w:sz w:val="24"/>
        </w:rPr>
      </w:r>
      <w:r/>
    </w:p>
    <w:p>
      <w:pPr>
        <w:spacing w:before="107" w:line="184" w:lineRule="auto"/>
        <w:rPr>
          <w:rFonts w:ascii="微软雅黑" w:hAnsi="微软雅黑" w:eastAsia="微软雅黑" w:cs="微软雅黑"/>
          <w:spacing w:val="17"/>
          <w:sz w:val="24"/>
        </w:rPr>
      </w:pPr>
      <w:r>
        <w:rPr>
          <w:rFonts w:hint="eastAsia" w:ascii="微软雅黑" w:hAnsi="微软雅黑" w:eastAsia="微软雅黑" w:cs="微软雅黑"/>
          <w:spacing w:val="17"/>
          <w:sz w:val="24"/>
        </w:rPr>
        <w:t xml:space="preserve">附件：</w:t>
      </w:r>
      <w:r/>
    </w:p>
    <w:p>
      <w:pPr>
        <w:jc w:val="center"/>
        <w:spacing w:before="107" w:line="184" w:lineRule="auto"/>
        <w:rPr>
          <w:rFonts w:ascii="微软雅黑" w:hAnsi="微软雅黑" w:eastAsia="微软雅黑" w:cs="微软雅黑"/>
          <w:spacing w:val="17"/>
          <w:sz w:val="24"/>
        </w:rPr>
      </w:pPr>
      <w:r>
        <w:rPr>
          <w:rFonts w:ascii="微软雅黑" w:hAnsi="微软雅黑" w:eastAsia="微软雅黑" w:cs="微软雅黑"/>
          <w:spacing w:val="17"/>
          <w:sz w:val="24"/>
        </w:rPr>
      </w:r>
      <w:r/>
    </w:p>
    <w:p>
      <w:pPr>
        <w:jc w:val="center"/>
        <w:spacing w:before="107" w:line="184" w:lineRule="auto"/>
        <w:rPr>
          <w:rFonts w:ascii="微软雅黑" w:hAnsi="微软雅黑" w:eastAsia="微软雅黑" w:cs="微软雅黑"/>
          <w:sz w:val="24"/>
        </w:rPr>
      </w:pPr>
      <w:r>
        <w:rPr>
          <w:rFonts w:ascii="微软雅黑" w:hAnsi="微软雅黑" w:eastAsia="微软雅黑" w:cs="微软雅黑"/>
          <w:spacing w:val="17"/>
          <w:sz w:val="24"/>
        </w:rPr>
        <w:t xml:space="preserve">政府采购履约验收书参考样本(货物类）</w:t>
      </w:r>
      <w:r/>
    </w:p>
    <w:tbl>
      <w:tblPr>
        <w:tblStyle w:val="800"/>
        <w:tblW w:w="9178"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63"/>
        <w:gridCol w:w="938"/>
        <w:gridCol w:w="1132"/>
        <w:gridCol w:w="1125"/>
        <w:gridCol w:w="885"/>
        <w:gridCol w:w="900"/>
        <w:gridCol w:w="960"/>
        <w:gridCol w:w="1005"/>
        <w:gridCol w:w="1170"/>
      </w:tblGrid>
      <w:tr>
        <w:trPr>
          <w:trHeight w:val="562"/>
        </w:trPr>
        <w:tc>
          <w:tcPr>
            <w:tcW w:w="1063"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采购人</w:t>
            </w:r>
            <w:r/>
          </w:p>
        </w:tc>
        <w:tc>
          <w:tcPr>
            <w:gridSpan w:val="2"/>
            <w:tcW w:w="2070" w:type="dxa"/>
            <w:textDirection w:val="lrTb"/>
            <w:noWrap w:val="false"/>
          </w:tcPr>
          <w:p>
            <w:pPr>
              <w:spacing w:after="160" w:line="278" w:lineRule="auto"/>
              <w:rPr>
                <w:rFonts w:ascii="宋体" w:hAnsi="宋体"/>
                <w:bCs/>
                <w:sz w:val="18"/>
                <w:szCs w:val="18"/>
              </w:rPr>
            </w:pPr>
            <w:r>
              <w:rPr>
                <w:rFonts w:ascii="宋体" w:hAnsi="宋体"/>
                <w:bCs/>
                <w:sz w:val="18"/>
                <w:szCs w:val="18"/>
              </w:rPr>
            </w:r>
            <w:r/>
          </w:p>
        </w:tc>
        <w:tc>
          <w:tcPr>
            <w:tcW w:w="1125"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项目名称</w:t>
            </w:r>
            <w:r/>
          </w:p>
        </w:tc>
        <w:tc>
          <w:tcPr>
            <w:gridSpan w:val="2"/>
            <w:tcW w:w="1785" w:type="dxa"/>
            <w:textDirection w:val="lrTb"/>
            <w:noWrap w:val="false"/>
          </w:tcPr>
          <w:p>
            <w:pPr>
              <w:spacing w:after="160" w:line="278" w:lineRule="auto"/>
              <w:rPr>
                <w:rFonts w:ascii="宋体" w:hAnsi="宋体"/>
                <w:bCs/>
                <w:sz w:val="18"/>
                <w:szCs w:val="18"/>
              </w:rPr>
            </w:pPr>
            <w:r>
              <w:rPr>
                <w:rFonts w:ascii="宋体" w:hAnsi="宋体"/>
                <w:bCs/>
                <w:sz w:val="18"/>
                <w:szCs w:val="18"/>
              </w:rPr>
            </w:r>
            <w:r/>
          </w:p>
        </w:tc>
        <w:tc>
          <w:tcPr>
            <w:tcW w:w="960"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合同名称</w:t>
            </w:r>
            <w:r/>
          </w:p>
        </w:tc>
        <w:tc>
          <w:tcPr>
            <w:gridSpan w:val="2"/>
            <w:tcW w:w="2175" w:type="dxa"/>
            <w:textDirection w:val="lrTb"/>
            <w:noWrap w:val="false"/>
          </w:tcPr>
          <w:p>
            <w:pPr>
              <w:spacing w:after="160" w:line="278" w:lineRule="auto"/>
              <w:rPr>
                <w:rFonts w:ascii="宋体" w:hAnsi="宋体"/>
                <w:bCs/>
                <w:sz w:val="18"/>
                <w:szCs w:val="18"/>
              </w:rPr>
            </w:pPr>
            <w:r>
              <w:rPr>
                <w:rFonts w:ascii="宋体" w:hAnsi="宋体"/>
                <w:bCs/>
                <w:sz w:val="18"/>
                <w:szCs w:val="18"/>
              </w:rPr>
            </w:r>
            <w:r/>
          </w:p>
        </w:tc>
      </w:tr>
      <w:tr>
        <w:trPr>
          <w:trHeight w:val="565"/>
        </w:trPr>
        <w:tc>
          <w:tcPr>
            <w:tcW w:w="1063"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供应商</w:t>
            </w:r>
            <w:r/>
          </w:p>
        </w:tc>
        <w:tc>
          <w:tcPr>
            <w:gridSpan w:val="2"/>
            <w:tcW w:w="2070" w:type="dxa"/>
            <w:textDirection w:val="lrTb"/>
            <w:noWrap w:val="false"/>
          </w:tcPr>
          <w:p>
            <w:pPr>
              <w:spacing w:after="160" w:line="278" w:lineRule="auto"/>
              <w:rPr>
                <w:rFonts w:ascii="宋体" w:hAnsi="宋体"/>
                <w:bCs/>
                <w:sz w:val="18"/>
                <w:szCs w:val="18"/>
              </w:rPr>
            </w:pPr>
            <w:r>
              <w:rPr>
                <w:rFonts w:ascii="宋体" w:hAnsi="宋体"/>
                <w:bCs/>
                <w:sz w:val="18"/>
                <w:szCs w:val="18"/>
              </w:rPr>
            </w:r>
            <w:r/>
          </w:p>
        </w:tc>
        <w:tc>
          <w:tcPr>
            <w:tcW w:w="1125"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项目及合同编号</w:t>
            </w:r>
            <w:r/>
          </w:p>
        </w:tc>
        <w:tc>
          <w:tcPr>
            <w:gridSpan w:val="2"/>
            <w:tcW w:w="1785" w:type="dxa"/>
            <w:textDirection w:val="lrTb"/>
            <w:noWrap w:val="false"/>
          </w:tcPr>
          <w:p>
            <w:pPr>
              <w:spacing w:after="160" w:line="278" w:lineRule="auto"/>
              <w:rPr>
                <w:rFonts w:ascii="宋体" w:hAnsi="宋体"/>
                <w:bCs/>
                <w:sz w:val="18"/>
                <w:szCs w:val="18"/>
              </w:rPr>
            </w:pPr>
            <w:r>
              <w:rPr>
                <w:rFonts w:ascii="宋体" w:hAnsi="宋体"/>
                <w:bCs/>
                <w:sz w:val="18"/>
                <w:szCs w:val="18"/>
              </w:rPr>
            </w:r>
            <w:r/>
          </w:p>
        </w:tc>
        <w:tc>
          <w:tcPr>
            <w:tcW w:w="960"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合同金额</w:t>
            </w:r>
            <w:r/>
          </w:p>
        </w:tc>
        <w:tc>
          <w:tcPr>
            <w:gridSpan w:val="2"/>
            <w:tcW w:w="2175" w:type="dxa"/>
            <w:textDirection w:val="lrTb"/>
            <w:noWrap w:val="false"/>
          </w:tcPr>
          <w:p>
            <w:pPr>
              <w:spacing w:after="160" w:line="278" w:lineRule="auto"/>
              <w:rPr>
                <w:rFonts w:ascii="宋体" w:hAnsi="宋体"/>
                <w:bCs/>
                <w:sz w:val="18"/>
                <w:szCs w:val="18"/>
              </w:rPr>
            </w:pPr>
            <w:r>
              <w:rPr>
                <w:rFonts w:ascii="宋体" w:hAnsi="宋体"/>
                <w:bCs/>
                <w:sz w:val="18"/>
                <w:szCs w:val="18"/>
              </w:rPr>
            </w:r>
            <w:r/>
          </w:p>
        </w:tc>
      </w:tr>
      <w:tr>
        <w:trPr>
          <w:trHeight w:val="440"/>
        </w:trPr>
        <w:tc>
          <w:tcPr>
            <w:tcW w:w="1063"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分期（段）验收</w:t>
            </w:r>
            <w:r/>
          </w:p>
        </w:tc>
        <w:tc>
          <w:tcPr>
            <w:gridSpan w:val="2"/>
            <w:tcW w:w="2070"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是□   否□</w:t>
            </w:r>
            <w:r/>
          </w:p>
        </w:tc>
        <w:tc>
          <w:tcPr>
            <w:tcW w:w="1125"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分期（段）情况</w:t>
            </w:r>
            <w:r/>
          </w:p>
        </w:tc>
        <w:tc>
          <w:tcPr>
            <w:gridSpan w:val="5"/>
            <w:tcW w:w="4920"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共分   期（段），此为第   期（段）验收</w:t>
            </w:r>
            <w:r/>
          </w:p>
        </w:tc>
      </w:tr>
      <w:tr>
        <w:trPr>
          <w:trHeight w:val="926"/>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p>
            <w:pPr>
              <w:spacing w:before="59" w:line="208" w:lineRule="auto"/>
              <w:rPr>
                <w:rFonts w:ascii="宋体" w:hAnsi="宋体" w:cs="宋体"/>
                <w:sz w:val="18"/>
                <w:szCs w:val="18"/>
              </w:rPr>
            </w:pPr>
            <w:r>
              <w:rPr>
                <w:rFonts w:ascii="宋体" w:hAnsi="宋体" w:cs="宋体"/>
                <w:spacing w:val="-2"/>
                <w:sz w:val="18"/>
                <w:szCs w:val="18"/>
              </w:rPr>
              <w:t xml:space="preserve">验收时间</w:t>
            </w:r>
            <w:r/>
          </w:p>
        </w:tc>
        <w:tc>
          <w:tcPr>
            <w:gridSpan w:val="2"/>
            <w:tcW w:w="2070" w:type="dxa"/>
            <w:textDirection w:val="lrTb"/>
            <w:noWrap w:val="false"/>
          </w:tcPr>
          <w:p>
            <w:pPr>
              <w:spacing w:after="160" w:line="278" w:lineRule="auto"/>
              <w:rPr>
                <w:rFonts w:ascii="宋体" w:hAnsi="宋体"/>
                <w:bCs/>
                <w:sz w:val="18"/>
                <w:szCs w:val="18"/>
              </w:rPr>
            </w:pPr>
            <w:r>
              <w:rPr>
                <w:rFonts w:ascii="宋体" w:hAnsi="宋体"/>
                <w:bCs/>
                <w:sz w:val="18"/>
                <w:szCs w:val="18"/>
              </w:rPr>
            </w:r>
            <w:r/>
          </w:p>
        </w:tc>
        <w:tc>
          <w:tcPr>
            <w:tcW w:w="1125"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验收地点</w:t>
            </w:r>
            <w:r/>
          </w:p>
        </w:tc>
        <w:tc>
          <w:tcPr>
            <w:gridSpan w:val="2"/>
            <w:tcW w:w="1785" w:type="dxa"/>
            <w:textDirection w:val="lrTb"/>
            <w:noWrap w:val="false"/>
          </w:tcPr>
          <w:p>
            <w:pPr>
              <w:spacing w:after="160" w:line="278" w:lineRule="auto"/>
              <w:rPr>
                <w:rFonts w:ascii="宋体" w:hAnsi="宋体"/>
                <w:bCs/>
                <w:sz w:val="18"/>
                <w:szCs w:val="18"/>
              </w:rPr>
            </w:pPr>
            <w:r>
              <w:rPr>
                <w:rFonts w:ascii="宋体" w:hAnsi="宋体"/>
                <w:bCs/>
                <w:sz w:val="18"/>
                <w:szCs w:val="18"/>
              </w:rPr>
            </w:r>
            <w:r/>
          </w:p>
        </w:tc>
        <w:tc>
          <w:tcPr>
            <w:tcW w:w="960"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验收组织形式</w:t>
            </w:r>
            <w:r/>
          </w:p>
        </w:tc>
        <w:tc>
          <w:tcPr>
            <w:gridSpan w:val="2"/>
            <w:tcW w:w="2175"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□自行简易验收</w:t>
            </w:r>
            <w:r/>
          </w:p>
          <w:p>
            <w:pPr>
              <w:spacing w:after="160" w:line="278" w:lineRule="auto"/>
              <w:rPr>
                <w:rFonts w:ascii="宋体" w:hAnsi="宋体"/>
                <w:bCs/>
                <w:sz w:val="18"/>
                <w:szCs w:val="18"/>
              </w:rPr>
            </w:pPr>
            <w:r>
              <w:rPr>
                <w:rFonts w:hint="eastAsia" w:ascii="宋体" w:hAnsi="宋体"/>
                <w:bCs/>
                <w:sz w:val="18"/>
                <w:szCs w:val="18"/>
              </w:rPr>
              <w:t xml:space="preserve">□验收小组验收</w:t>
            </w:r>
            <w:r/>
          </w:p>
          <w:p>
            <w:pPr>
              <w:spacing w:after="160" w:line="278" w:lineRule="auto"/>
              <w:rPr>
                <w:rFonts w:ascii="宋体" w:hAnsi="宋体"/>
                <w:bCs/>
                <w:sz w:val="18"/>
                <w:szCs w:val="18"/>
              </w:rPr>
            </w:pPr>
            <w:r>
              <w:rPr>
                <w:rFonts w:hint="eastAsia" w:ascii="宋体" w:hAnsi="宋体"/>
                <w:bCs/>
                <w:sz w:val="18"/>
                <w:szCs w:val="18"/>
              </w:rPr>
              <w:t xml:space="preserve">□采购代理机构验收</w:t>
            </w:r>
            <w:r/>
          </w:p>
        </w:tc>
      </w:tr>
      <w:tr>
        <w:trPr>
          <w:trHeight w:val="806"/>
        </w:trPr>
        <w:tc>
          <w:tcPr>
            <w:tcBorders>
              <w:bottom w:val="none" w:color="000000" w:sz="4" w:space="0"/>
            </w:tcBorders>
            <w:tcW w:w="1063" w:type="dxa"/>
            <w:vMerge w:val="restart"/>
            <w:textDirection w:val="lrTb"/>
            <w:noWrap w:val="false"/>
          </w:tcPr>
          <w:p>
            <w:pPr>
              <w:spacing w:after="160" w:line="278" w:lineRule="auto"/>
              <w:rPr>
                <w:rFonts w:ascii="宋体" w:hAnsi="宋体"/>
                <w:bCs/>
                <w:sz w:val="18"/>
                <w:szCs w:val="18"/>
              </w:rPr>
            </w:pPr>
            <w:r>
              <w:rPr>
                <w:rFonts w:ascii="宋体" w:hAnsi="宋体"/>
                <w:bCs/>
                <w:sz w:val="18"/>
                <w:szCs w:val="18"/>
              </w:rPr>
            </w:r>
            <w:r/>
          </w:p>
          <w:p>
            <w:pPr>
              <w:spacing w:after="160" w:line="278" w:lineRule="auto"/>
              <w:rPr>
                <w:rFonts w:ascii="宋体" w:hAnsi="宋体"/>
                <w:bCs/>
                <w:sz w:val="18"/>
                <w:szCs w:val="18"/>
              </w:rPr>
            </w:pPr>
            <w:r>
              <w:rPr>
                <w:rFonts w:hint="eastAsia" w:ascii="宋体" w:hAnsi="宋体"/>
                <w:bCs/>
                <w:sz w:val="18"/>
                <w:szCs w:val="18"/>
              </w:rPr>
              <w:t xml:space="preserve">验收内容</w:t>
            </w:r>
            <w:r/>
          </w:p>
        </w:tc>
        <w:tc>
          <w:tcPr>
            <w:tcW w:w="938"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货物清单</w:t>
            </w:r>
            <w:r/>
          </w:p>
        </w:tc>
        <w:tc>
          <w:tcPr>
            <w:tcW w:w="1132"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品牌、型号、规格数量及外观质量</w:t>
            </w:r>
            <w:r/>
          </w:p>
        </w:tc>
        <w:tc>
          <w:tcPr>
            <w:tcW w:w="1125"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技术、性能 指标</w:t>
            </w:r>
            <w:r/>
          </w:p>
        </w:tc>
        <w:tc>
          <w:tcPr>
            <w:tcW w:w="885"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运行状况及安装调试</w:t>
            </w:r>
            <w:r/>
          </w:p>
        </w:tc>
        <w:tc>
          <w:tcPr>
            <w:tcW w:w="900"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质量证明文件</w:t>
            </w:r>
            <w:r/>
          </w:p>
        </w:tc>
        <w:tc>
          <w:tcPr>
            <w:tcW w:w="960"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售后服务承诺</w:t>
            </w:r>
            <w:r/>
          </w:p>
        </w:tc>
        <w:tc>
          <w:tcPr>
            <w:tcW w:w="1005"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安全标准</w:t>
            </w:r>
            <w:r/>
          </w:p>
        </w:tc>
        <w:tc>
          <w:tcPr>
            <w:tcW w:w="1170"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合同履约时间、地点、方式</w:t>
            </w:r>
            <w:r/>
          </w:p>
        </w:tc>
      </w:tr>
      <w:tr>
        <w:trPr>
          <w:trHeight w:val="488"/>
        </w:trPr>
        <w:tc>
          <w:tcPr>
            <w:tcBorders>
              <w:top w:val="none" w:color="000000" w:sz="4" w:space="0"/>
            </w:tcBorders>
            <w:tcW w:w="1063" w:type="dxa"/>
            <w:vMerge w:val="continue"/>
            <w:textDirection w:val="lrTb"/>
            <w:noWrap w:val="false"/>
          </w:tcPr>
          <w:p>
            <w:pPr>
              <w:spacing w:after="160" w:line="278" w:lineRule="auto"/>
              <w:rPr>
                <w:rFonts w:ascii="宋体" w:hAnsi="宋体"/>
                <w:bCs/>
                <w:sz w:val="18"/>
                <w:szCs w:val="18"/>
              </w:rPr>
            </w:pPr>
            <w:r>
              <w:rPr>
                <w:rFonts w:ascii="宋体" w:hAnsi="宋体"/>
                <w:bCs/>
                <w:sz w:val="18"/>
                <w:szCs w:val="18"/>
              </w:rPr>
            </w:r>
            <w:r/>
          </w:p>
        </w:tc>
        <w:tc>
          <w:tcPr>
            <w:tcW w:w="938"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合格□ </w:t>
            </w:r>
            <w:r/>
          </w:p>
          <w:p>
            <w:pPr>
              <w:spacing w:after="160" w:line="278" w:lineRule="auto"/>
              <w:rPr>
                <w:rFonts w:ascii="宋体" w:hAnsi="宋体"/>
                <w:bCs/>
                <w:sz w:val="18"/>
                <w:szCs w:val="18"/>
              </w:rPr>
            </w:pPr>
            <w:r>
              <w:rPr>
                <w:rFonts w:hint="eastAsia" w:ascii="宋体" w:hAnsi="宋体"/>
                <w:bCs/>
                <w:sz w:val="18"/>
                <w:szCs w:val="18"/>
              </w:rPr>
              <w:t xml:space="preserve">不合格□</w:t>
            </w:r>
            <w:r/>
          </w:p>
        </w:tc>
        <w:tc>
          <w:tcPr>
            <w:tcW w:w="1132"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合  格□ </w:t>
            </w:r>
            <w:r/>
          </w:p>
          <w:p>
            <w:pPr>
              <w:spacing w:after="160" w:line="278" w:lineRule="auto"/>
              <w:rPr>
                <w:rFonts w:ascii="宋体" w:hAnsi="宋体"/>
                <w:bCs/>
                <w:sz w:val="18"/>
                <w:szCs w:val="18"/>
              </w:rPr>
            </w:pPr>
            <w:r>
              <w:rPr>
                <w:rFonts w:hint="eastAsia" w:ascii="宋体" w:hAnsi="宋体"/>
                <w:bCs/>
                <w:sz w:val="18"/>
                <w:szCs w:val="18"/>
              </w:rPr>
              <w:t xml:space="preserve">不合格□</w:t>
            </w:r>
            <w:r/>
          </w:p>
        </w:tc>
        <w:tc>
          <w:tcPr>
            <w:tcW w:w="1125"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合  格□ </w:t>
            </w:r>
            <w:r/>
          </w:p>
          <w:p>
            <w:pPr>
              <w:spacing w:after="160" w:line="278" w:lineRule="auto"/>
              <w:rPr>
                <w:rFonts w:ascii="宋体" w:hAnsi="宋体"/>
                <w:bCs/>
                <w:sz w:val="18"/>
                <w:szCs w:val="18"/>
              </w:rPr>
            </w:pPr>
            <w:r>
              <w:rPr>
                <w:rFonts w:hint="eastAsia" w:ascii="宋体" w:hAnsi="宋体"/>
                <w:bCs/>
                <w:sz w:val="18"/>
                <w:szCs w:val="18"/>
              </w:rPr>
              <w:t xml:space="preserve">不合格□</w:t>
            </w:r>
            <w:r/>
          </w:p>
        </w:tc>
        <w:tc>
          <w:tcPr>
            <w:tcW w:w="885"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合  格□ </w:t>
            </w:r>
            <w:r/>
          </w:p>
          <w:p>
            <w:pPr>
              <w:spacing w:after="160" w:line="278" w:lineRule="auto"/>
              <w:rPr>
                <w:rFonts w:ascii="宋体" w:hAnsi="宋体"/>
                <w:bCs/>
                <w:sz w:val="18"/>
                <w:szCs w:val="18"/>
              </w:rPr>
            </w:pPr>
            <w:r>
              <w:rPr>
                <w:rFonts w:hint="eastAsia" w:ascii="宋体" w:hAnsi="宋体"/>
                <w:bCs/>
                <w:sz w:val="18"/>
                <w:szCs w:val="18"/>
              </w:rPr>
              <w:t xml:space="preserve">不合格□</w:t>
            </w:r>
            <w:r/>
          </w:p>
        </w:tc>
        <w:tc>
          <w:tcPr>
            <w:tcW w:w="900"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合  格□ </w:t>
            </w:r>
            <w:r/>
          </w:p>
          <w:p>
            <w:pPr>
              <w:spacing w:after="160" w:line="278" w:lineRule="auto"/>
              <w:rPr>
                <w:rFonts w:ascii="宋体" w:hAnsi="宋体"/>
                <w:bCs/>
                <w:sz w:val="18"/>
                <w:szCs w:val="18"/>
              </w:rPr>
            </w:pPr>
            <w:r>
              <w:rPr>
                <w:rFonts w:hint="eastAsia" w:ascii="宋体" w:hAnsi="宋体"/>
                <w:bCs/>
                <w:sz w:val="18"/>
                <w:szCs w:val="18"/>
              </w:rPr>
              <w:t xml:space="preserve">不合格□</w:t>
            </w:r>
            <w:r/>
          </w:p>
        </w:tc>
        <w:tc>
          <w:tcPr>
            <w:tcW w:w="960"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合  格□ 不合格□</w:t>
            </w:r>
            <w:r/>
          </w:p>
        </w:tc>
        <w:tc>
          <w:tcPr>
            <w:tcW w:w="1005"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合  格□ </w:t>
            </w:r>
            <w:r/>
          </w:p>
          <w:p>
            <w:pPr>
              <w:spacing w:after="160" w:line="278" w:lineRule="auto"/>
              <w:rPr>
                <w:rFonts w:ascii="宋体" w:hAnsi="宋体"/>
                <w:bCs/>
                <w:sz w:val="18"/>
                <w:szCs w:val="18"/>
              </w:rPr>
            </w:pPr>
            <w:r>
              <w:rPr>
                <w:rFonts w:hint="eastAsia" w:ascii="宋体" w:hAnsi="宋体"/>
                <w:bCs/>
                <w:sz w:val="18"/>
                <w:szCs w:val="18"/>
              </w:rPr>
              <w:t xml:space="preserve">不合格□</w:t>
            </w:r>
            <w:r/>
          </w:p>
        </w:tc>
        <w:tc>
          <w:tcPr>
            <w:tcW w:w="1170" w:type="dxa"/>
            <w:textDirection w:val="lrTb"/>
            <w:noWrap w:val="false"/>
          </w:tcPr>
          <w:p>
            <w:pPr>
              <w:spacing w:after="160" w:line="278" w:lineRule="auto"/>
              <w:rPr>
                <w:rFonts w:ascii="宋体" w:hAnsi="宋体"/>
                <w:bCs/>
                <w:sz w:val="18"/>
                <w:szCs w:val="18"/>
              </w:rPr>
            </w:pPr>
            <w:r>
              <w:rPr>
                <w:rFonts w:hint="eastAsia" w:ascii="宋体" w:hAnsi="宋体"/>
                <w:bCs/>
                <w:sz w:val="18"/>
                <w:szCs w:val="18"/>
              </w:rPr>
              <w:t xml:space="preserve">合  格□ </w:t>
            </w:r>
            <w:r/>
          </w:p>
          <w:p>
            <w:pPr>
              <w:spacing w:after="160" w:line="278" w:lineRule="auto"/>
              <w:rPr>
                <w:rFonts w:ascii="宋体" w:hAnsi="宋体"/>
                <w:bCs/>
                <w:sz w:val="18"/>
                <w:szCs w:val="18"/>
              </w:rPr>
            </w:pPr>
            <w:r>
              <w:rPr>
                <w:rFonts w:hint="eastAsia" w:ascii="宋体" w:hAnsi="宋体"/>
                <w:bCs/>
                <w:sz w:val="18"/>
                <w:szCs w:val="18"/>
              </w:rPr>
              <w:t xml:space="preserve">不合格□</w:t>
            </w:r>
            <w:r/>
          </w:p>
        </w:tc>
      </w:tr>
      <w:tr>
        <w:trPr>
          <w:trHeight w:val="733"/>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t xml:space="preserve">专业检测机构情况说明</w:t>
            </w:r>
            <w:r/>
          </w:p>
        </w:tc>
        <w:tc>
          <w:tcPr>
            <w:gridSpan w:val="8"/>
            <w:tcW w:w="8115"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tc>
      </w:tr>
      <w:tr>
        <w:trPr>
          <w:trHeight w:val="688"/>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t xml:space="preserve">存在问题和改进意见</w:t>
            </w:r>
            <w:r/>
          </w:p>
        </w:tc>
        <w:tc>
          <w:tcPr>
            <w:gridSpan w:val="8"/>
            <w:tcW w:w="8115"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tc>
      </w:tr>
      <w:tr>
        <w:trPr>
          <w:trHeight w:val="599"/>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p>
            <w:pPr>
              <w:spacing w:after="160" w:line="264" w:lineRule="auto"/>
              <w:rPr>
                <w:rFonts w:ascii="Arial" w:hAnsi="Arial" w:eastAsia="Arial" w:cs="Arial"/>
                <w:sz w:val="18"/>
                <w:szCs w:val="18"/>
              </w:rPr>
            </w:pPr>
            <w:r>
              <w:rPr>
                <w:rFonts w:ascii="Arial" w:hAnsi="Arial" w:eastAsia="Arial" w:cs="Arial"/>
                <w:sz w:val="18"/>
                <w:szCs w:val="18"/>
              </w:rPr>
              <w:t xml:space="preserve">最终结论</w:t>
            </w:r>
            <w:r/>
          </w:p>
        </w:tc>
        <w:tc>
          <w:tcPr>
            <w:gridSpan w:val="8"/>
            <w:tcW w:w="8115" w:type="dxa"/>
            <w:textDirection w:val="lrTb"/>
            <w:noWrap w:val="false"/>
          </w:tcPr>
          <w:p>
            <w:pPr>
              <w:jc w:val="center"/>
              <w:spacing w:after="160" w:line="264" w:lineRule="auto"/>
              <w:rPr>
                <w:rFonts w:ascii="Arial" w:hAnsi="Arial" w:eastAsia="Arial" w:cs="Arial"/>
                <w:sz w:val="18"/>
                <w:szCs w:val="18"/>
              </w:rPr>
            </w:pPr>
            <w:r>
              <w:rPr>
                <w:rFonts w:ascii="Arial" w:hAnsi="Arial" w:eastAsia="Arial" w:cs="Arial"/>
                <w:sz w:val="18"/>
                <w:szCs w:val="18"/>
              </w:rPr>
            </w:r>
            <w:r/>
          </w:p>
          <w:p>
            <w:pPr>
              <w:jc w:val="center"/>
              <w:spacing w:after="160" w:line="264" w:lineRule="auto"/>
              <w:rPr>
                <w:rFonts w:ascii="Arial" w:hAnsi="Arial" w:eastAsia="Arial" w:cs="Arial"/>
                <w:sz w:val="18"/>
                <w:szCs w:val="18"/>
              </w:rPr>
            </w:pPr>
            <w:r>
              <w:rPr>
                <w:rFonts w:ascii="Arial" w:hAnsi="Arial" w:eastAsia="Arial" w:cs="Arial"/>
                <w:sz w:val="18"/>
                <w:szCs w:val="18"/>
              </w:rPr>
              <w:t xml:space="preserve">合  格□                              不合格□</w:t>
            </w:r>
            <w:r/>
          </w:p>
        </w:tc>
      </w:tr>
      <w:tr>
        <w:trPr>
          <w:trHeight w:val="872"/>
        </w:trPr>
        <w:tc>
          <w:tcPr>
            <w:tcW w:w="1063"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t xml:space="preserve">验收小组成员签字</w:t>
            </w:r>
            <w:r/>
          </w:p>
        </w:tc>
        <w:tc>
          <w:tcPr>
            <w:gridSpan w:val="8"/>
            <w:tcW w:w="8115" w:type="dxa"/>
            <w:textDirection w:val="lrTb"/>
            <w:noWrap w:val="false"/>
          </w:tcPr>
          <w:p>
            <w:pPr>
              <w:spacing w:after="160" w:line="264" w:lineRule="auto"/>
              <w:rPr>
                <w:rFonts w:ascii="Arial" w:hAnsi="Arial" w:eastAsia="Arial" w:cs="Arial"/>
                <w:sz w:val="18"/>
                <w:szCs w:val="18"/>
              </w:rPr>
            </w:pPr>
            <w:r>
              <w:rPr>
                <w:rFonts w:ascii="Arial" w:hAnsi="Arial" w:eastAsia="Arial" w:cs="Arial"/>
                <w:sz w:val="18"/>
                <w:szCs w:val="18"/>
              </w:rPr>
            </w:r>
            <w:r/>
          </w:p>
          <w:p>
            <w:pPr>
              <w:spacing w:after="160" w:line="264" w:lineRule="auto"/>
              <w:rPr>
                <w:rFonts w:ascii="Arial" w:hAnsi="Arial" w:eastAsia="Arial" w:cs="Arial"/>
                <w:sz w:val="18"/>
                <w:szCs w:val="18"/>
              </w:rPr>
            </w:pPr>
            <w:r>
              <w:rPr>
                <w:rFonts w:ascii="Arial" w:hAnsi="Arial" w:eastAsia="Arial" w:cs="Arial"/>
                <w:sz w:val="18"/>
                <w:szCs w:val="18"/>
              </w:rPr>
              <w:t xml:space="preserve">采购人意见</w:t>
            </w:r>
            <w:r/>
          </w:p>
        </w:tc>
      </w:tr>
      <w:tr>
        <w:trPr>
          <w:trHeight w:val="1186"/>
        </w:trPr>
        <w:tc>
          <w:tcPr>
            <w:tcW w:w="1063" w:type="dxa"/>
            <w:textDirection w:val="lrTb"/>
            <w:noWrap w:val="false"/>
          </w:tcPr>
          <w:p>
            <w:pPr>
              <w:spacing w:before="59" w:line="238" w:lineRule="exact"/>
              <w:rPr>
                <w:rFonts w:ascii="宋体" w:hAnsi="宋体" w:cs="宋体"/>
                <w:sz w:val="18"/>
                <w:szCs w:val="18"/>
              </w:rPr>
            </w:pPr>
            <w:r>
              <w:rPr>
                <w:rFonts w:ascii="宋体" w:hAnsi="宋体" w:cs="宋体"/>
                <w:spacing w:val="1"/>
                <w:position w:val="1"/>
                <w:sz w:val="18"/>
                <w:szCs w:val="18"/>
              </w:rPr>
              <w:t xml:space="preserve">经办人：         负责人</w:t>
            </w:r>
            <w:r>
              <w:rPr>
                <w:rFonts w:ascii="宋体" w:hAnsi="宋体" w:cs="宋体"/>
                <w:spacing w:val="-18"/>
                <w:position w:val="1"/>
                <w:sz w:val="18"/>
                <w:szCs w:val="18"/>
              </w:rPr>
              <w:t xml:space="preserve">：</w:t>
            </w:r>
            <w:r>
              <w:rPr>
                <w:rFonts w:ascii="宋体" w:hAnsi="宋体" w:cs="宋体"/>
                <w:position w:val="1"/>
                <w:sz w:val="18"/>
                <w:szCs w:val="18"/>
              </w:rPr>
              <w:t xml:space="preserve">           </w:t>
            </w:r>
            <w:r>
              <w:rPr>
                <w:rFonts w:ascii="宋体" w:hAnsi="宋体" w:cs="宋体"/>
                <w:spacing w:val="-18"/>
                <w:position w:val="1"/>
                <w:sz w:val="18"/>
                <w:szCs w:val="18"/>
              </w:rPr>
              <w:t xml:space="preserve">（</w:t>
            </w:r>
            <w:r>
              <w:rPr>
                <w:rFonts w:ascii="宋体" w:hAnsi="宋体" w:cs="宋体"/>
                <w:spacing w:val="1"/>
                <w:position w:val="1"/>
                <w:sz w:val="18"/>
                <w:szCs w:val="18"/>
              </w:rPr>
              <w:t xml:space="preserve">采购代理机构公章）</w:t>
            </w:r>
            <w:r/>
          </w:p>
        </w:tc>
        <w:tc>
          <w:tcPr>
            <w:gridSpan w:val="8"/>
            <w:tcW w:w="8115" w:type="dxa"/>
            <w:textDirection w:val="lrTb"/>
            <w:noWrap w:val="false"/>
          </w:tcPr>
          <w:p>
            <w:pPr>
              <w:spacing w:after="160" w:line="263" w:lineRule="auto"/>
              <w:rPr>
                <w:rFonts w:ascii="Arial" w:hAnsi="Arial" w:eastAsia="Arial" w:cs="Arial"/>
                <w:szCs w:val="21"/>
              </w:rPr>
            </w:pPr>
            <w:r>
              <w:rPr>
                <w:rFonts w:ascii="Arial" w:hAnsi="Arial" w:eastAsia="Arial" w:cs="Arial"/>
                <w:szCs w:val="21"/>
              </w:rPr>
            </w:r>
            <w:r/>
          </w:p>
          <w:p>
            <w:pPr>
              <w:spacing w:after="160" w:line="264" w:lineRule="auto"/>
              <w:rPr>
                <w:rFonts w:ascii="Arial" w:hAnsi="Arial" w:eastAsia="Arial" w:cs="Arial"/>
                <w:szCs w:val="21"/>
              </w:rPr>
            </w:pPr>
            <w:r>
              <w:rPr>
                <w:rFonts w:ascii="Arial" w:hAnsi="Arial" w:eastAsia="Arial" w:cs="Arial"/>
                <w:szCs w:val="21"/>
              </w:rPr>
            </w:r>
            <w:r/>
          </w:p>
          <w:p>
            <w:pPr>
              <w:spacing w:before="59" w:line="238" w:lineRule="exact"/>
              <w:rPr>
                <w:rFonts w:ascii="宋体" w:hAnsi="宋体" w:cs="宋体"/>
                <w:sz w:val="18"/>
                <w:szCs w:val="18"/>
              </w:rPr>
            </w:pPr>
            <w:r>
              <w:rPr>
                <w:rFonts w:ascii="宋体" w:hAnsi="宋体" w:cs="宋体"/>
                <w:spacing w:val="1"/>
                <w:position w:val="1"/>
                <w:sz w:val="18"/>
                <w:szCs w:val="18"/>
              </w:rPr>
              <w:t xml:space="preserve">经办人：           负责人</w:t>
            </w:r>
            <w:r>
              <w:rPr>
                <w:rFonts w:ascii="宋体" w:hAnsi="宋体" w:cs="宋体"/>
                <w:spacing w:val="-17"/>
                <w:position w:val="1"/>
                <w:sz w:val="18"/>
                <w:szCs w:val="18"/>
              </w:rPr>
              <w:t xml:space="preserve">：</w:t>
            </w:r>
            <w:r>
              <w:rPr>
                <w:rFonts w:ascii="宋体" w:hAnsi="宋体" w:cs="宋体"/>
                <w:spacing w:val="8"/>
                <w:position w:val="1"/>
                <w:sz w:val="18"/>
                <w:szCs w:val="18"/>
              </w:rPr>
              <w:t xml:space="preserve">           </w:t>
            </w:r>
            <w:r>
              <w:rPr>
                <w:rFonts w:ascii="宋体" w:hAnsi="宋体" w:cs="宋体"/>
                <w:spacing w:val="-17"/>
                <w:position w:val="1"/>
                <w:sz w:val="18"/>
                <w:szCs w:val="18"/>
              </w:rPr>
              <w:t xml:space="preserve">（</w:t>
            </w:r>
            <w:r>
              <w:rPr>
                <w:rFonts w:ascii="宋体" w:hAnsi="宋体" w:cs="宋体"/>
                <w:spacing w:val="1"/>
                <w:position w:val="1"/>
                <w:sz w:val="18"/>
                <w:szCs w:val="18"/>
              </w:rPr>
              <w:t xml:space="preserve">采购人公章）</w:t>
            </w:r>
            <w:r/>
          </w:p>
        </w:tc>
      </w:tr>
      <w:tr>
        <w:trPr>
          <w:trHeight w:val="1203"/>
        </w:trPr>
        <w:tc>
          <w:tcPr>
            <w:gridSpan w:val="9"/>
            <w:tcW w:w="9178" w:type="dxa"/>
            <w:textDirection w:val="lrTb"/>
            <w:noWrap w:val="false"/>
          </w:tcPr>
          <w:p>
            <w:pPr>
              <w:spacing w:before="299" w:line="207" w:lineRule="auto"/>
              <w:rPr>
                <w:rFonts w:ascii="宋体" w:hAnsi="宋体" w:cs="宋体"/>
                <w:sz w:val="18"/>
                <w:szCs w:val="18"/>
              </w:rPr>
            </w:pPr>
            <w:r>
              <w:rPr>
                <w:rFonts w:ascii="宋体" w:hAnsi="宋体" w:cs="宋体"/>
                <w:spacing w:val="-2"/>
                <w:sz w:val="18"/>
                <w:szCs w:val="18"/>
              </w:rPr>
              <w:t xml:space="preserve">供应商确认：</w:t>
            </w:r>
            <w:r/>
          </w:p>
          <w:p>
            <w:pPr>
              <w:spacing w:before="59" w:line="239" w:lineRule="exact"/>
              <w:rPr>
                <w:rFonts w:ascii="宋体" w:hAnsi="宋体" w:cs="宋体"/>
                <w:sz w:val="18"/>
                <w:szCs w:val="18"/>
              </w:rPr>
            </w:pPr>
            <w:r>
              <w:rPr>
                <w:rFonts w:ascii="宋体" w:hAnsi="宋体" w:cs="宋体"/>
                <w:spacing w:val="-1"/>
                <w:position w:val="1"/>
                <w:sz w:val="18"/>
                <w:szCs w:val="18"/>
              </w:rPr>
              <w:t xml:space="preserve">（单位公章或授权代表签字）</w:t>
            </w:r>
            <w:r/>
          </w:p>
        </w:tc>
      </w:tr>
    </w:tbl>
    <w:p>
      <w:pPr>
        <w:ind w:left="168"/>
        <w:spacing w:before="297" w:line="211" w:lineRule="auto"/>
        <w:rPr>
          <w:rFonts w:ascii="宋体" w:hAnsi="宋体" w:cs="宋体"/>
          <w:sz w:val="18"/>
          <w:szCs w:val="18"/>
        </w:rPr>
      </w:pPr>
      <w:r>
        <w:rPr>
          <w:rFonts w:ascii="宋体" w:hAnsi="宋体" w:cs="宋体"/>
          <w:sz w:val="18"/>
          <w:szCs w:val="18"/>
        </w:rPr>
        <w:t xml:space="preserve">说明: 1.该表为货物类项目履约验收的参考样表，采购人或采购代理机构可以</w:t>
      </w:r>
      <w:r>
        <w:rPr>
          <w:rFonts w:ascii="宋体" w:hAnsi="宋体" w:cs="宋体"/>
          <w:spacing w:val="-1"/>
          <w:sz w:val="18"/>
          <w:szCs w:val="18"/>
        </w:rPr>
        <w:t xml:space="preserve">根据工作实际进行调整。</w:t>
      </w:r>
      <w:r/>
    </w:p>
    <w:p>
      <w:pPr>
        <w:ind w:left="708"/>
        <w:spacing w:before="58" w:line="211" w:lineRule="auto"/>
        <w:rPr>
          <w:rFonts w:ascii="宋体" w:hAnsi="宋体" w:cs="宋体"/>
          <w:sz w:val="18"/>
          <w:szCs w:val="18"/>
        </w:rPr>
      </w:pPr>
      <w:r>
        <w:rPr>
          <w:rFonts w:ascii="宋体" w:hAnsi="宋体" w:cs="宋体"/>
          <w:sz w:val="18"/>
          <w:szCs w:val="18"/>
        </w:rPr>
        <w:t xml:space="preserve">2.未委托采购代理机构开展履约验收工作的，无需填写“</w:t>
      </w:r>
      <w:r>
        <w:rPr>
          <w:rFonts w:ascii="宋体" w:hAnsi="宋体" w:cs="宋体"/>
          <w:spacing w:val="-1"/>
          <w:sz w:val="18"/>
          <w:szCs w:val="18"/>
        </w:rPr>
        <w:t xml:space="preserve">采购代理机构意见</w:t>
      </w:r>
      <w:r>
        <w:rPr>
          <w:rFonts w:ascii="宋体" w:hAnsi="宋体" w:cs="宋体"/>
          <w:spacing w:val="-66"/>
          <w:sz w:val="18"/>
          <w:szCs w:val="18"/>
        </w:rPr>
        <w:t xml:space="preserve"> </w:t>
      </w:r>
      <w:r>
        <w:rPr>
          <w:rFonts w:ascii="宋体" w:hAnsi="宋体" w:cs="宋体"/>
          <w:spacing w:val="-1"/>
          <w:sz w:val="18"/>
          <w:szCs w:val="18"/>
        </w:rPr>
        <w:t xml:space="preserve">”。</w:t>
      </w:r>
      <w:r/>
    </w:p>
    <w:p>
      <w:pPr>
        <w:spacing w:after="160" w:line="400" w:lineRule="exact"/>
        <w:rPr>
          <w:rFonts w:ascii="宋体" w:hAnsi="宋体" w:cs="宋体"/>
          <w:b/>
          <w:bCs/>
          <w:sz w:val="28"/>
          <w:szCs w:val="28"/>
        </w:rPr>
      </w:pPr>
      <w:r>
        <w:rPr>
          <w:rFonts w:ascii="宋体" w:hAnsi="宋体" w:cs="宋体"/>
          <w:b/>
          <w:bCs/>
          <w:sz w:val="28"/>
          <w:szCs w:val="28"/>
        </w:rPr>
      </w:r>
      <w:r/>
    </w:p>
    <w:p>
      <w:pPr>
        <w:pStyle w:val="984"/>
        <w:jc w:val="center"/>
        <w:rPr>
          <w:rFonts w:ascii="宋体" w:hAnsi="宋体" w:eastAsia="宋体" w:cs="宋体"/>
          <w:b/>
          <w:bCs/>
          <w:spacing w:val="-20"/>
          <w:sz w:val="48"/>
          <w:szCs w:val="48"/>
        </w:rPr>
      </w:pPr>
      <w:r>
        <w:rPr>
          <w:rFonts w:hint="eastAsia" w:ascii="宋体" w:hAnsi="宋体" w:eastAsia="宋体" w:cs="宋体"/>
          <w:sz w:val="24"/>
        </w:rPr>
        <w:t xml:space="preserve"> </w:t>
      </w:r>
      <w:bookmarkStart w:id="5" w:name="_Toc3995"/>
      <w:r/>
      <w:r/>
    </w:p>
    <w:p>
      <w:pPr>
        <w:pStyle w:val="984"/>
        <w:rPr>
          <w:rFonts w:ascii="宋体" w:hAnsi="宋体" w:eastAsia="宋体" w:cs="宋体"/>
          <w:b/>
          <w:bCs/>
          <w:spacing w:val="-20"/>
          <w:sz w:val="48"/>
          <w:szCs w:val="48"/>
        </w:rPr>
      </w:pPr>
      <w:r>
        <w:rPr>
          <w:rFonts w:ascii="宋体" w:hAnsi="宋体" w:eastAsia="宋体" w:cs="宋体"/>
          <w:b/>
          <w:bCs/>
          <w:spacing w:val="-20"/>
          <w:sz w:val="48"/>
          <w:szCs w:val="48"/>
        </w:rPr>
      </w:r>
      <w:r/>
    </w:p>
    <w:p>
      <w:pPr>
        <w:pStyle w:val="984"/>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984"/>
        <w:jc w:val="center"/>
        <w:rPr>
          <w:rFonts w:ascii="宋体" w:hAnsi="宋体" w:eastAsia="宋体" w:cs="宋体"/>
          <w:b/>
          <w:bCs/>
          <w:spacing w:val="-20"/>
          <w:sz w:val="48"/>
          <w:szCs w:val="48"/>
        </w:rPr>
      </w:pPr>
      <w:r>
        <w:rPr>
          <w:rFonts w:ascii="宋体" w:hAnsi="宋体" w:eastAsia="宋体" w:cs="宋体"/>
          <w:b/>
          <w:bCs/>
          <w:spacing w:val="-20"/>
          <w:sz w:val="48"/>
          <w:szCs w:val="48"/>
        </w:rPr>
      </w:r>
      <w:bookmarkEnd w:id="5"/>
      <w:r/>
      <w:r/>
    </w:p>
    <w:p>
      <w:pPr>
        <w:jc w:val="cente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jc w:val="center"/>
        <w:spacing w:line="439"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（全文完）</w:t>
      </w:r>
      <w:r/>
    </w:p>
    <w:p>
      <w:pPr>
        <w:spacing w:line="500" w:lineRule="exact"/>
        <w:rPr>
          <w:rFonts w:ascii="宋体" w:hAnsi="宋体" w:cs="宋体"/>
          <w:sz w:val="24"/>
        </w:rPr>
      </w:pPr>
      <w:r>
        <w:rPr>
          <w:rFonts w:ascii="宋体" w:hAnsi="宋体" w:cs="宋体"/>
          <w:sz w:val="24"/>
        </w:rPr>
      </w:r>
      <w:r/>
    </w:p>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_GB2312">
    <w:panose1 w:val="02010609060101010101"/>
  </w:font>
  <w:font w:name="华文中宋">
    <w:panose1 w:val="02010600040101010101"/>
  </w:font>
  <w:font w:name="黑体">
    <w:panose1 w:val="02010609060101010101"/>
  </w:font>
  <w:font w:name="仿宋">
    <w:panose1 w:val="02010609060101010101"/>
  </w:font>
  <w:font w:name="华文楷体">
    <w:panose1 w:val="02010600040101010101"/>
  </w:font>
  <w:font w:name="Wingdings">
    <w:panose1 w:val="05000000000000000000"/>
  </w:font>
  <w:font w:name="Courier New">
    <w:panose1 w:val="02070309020205020404"/>
  </w:font>
  <w:font w:name="汉仪书宋二S">
    <w:panose1 w:val="020B0503020202020204"/>
  </w:font>
  <w:font w:name="Tahoma">
    <w:panose1 w:val="020B060403050404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78" w:lineRule="auto"/>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2440940</wp:posOffset>
              </wp:positionH>
              <wp:positionV relativeFrom="paragraph">
                <wp:posOffset>-8255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7621" cy="325561"/>
                      </a:xfrm>
                      <a:prstGeom prst="rect">
                        <a:avLst/>
                      </a:prstGeom>
                      <a:noFill/>
                      <a:ln>
                        <a:noFill/>
                      </a:ln>
                    </wps:spPr>
                    <wps:txbx>
                      <w:txbxContent>
                        <w:p>
                          <w:pPr>
                            <w:pStyle w:val="990"/>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2pt;mso-position-horizontal:absolute;mso-position-vertical-relative:text;margin-top:-0.7pt;mso-position-vertical:absolute;width:144.0pt;height:144.0pt;mso-wrap-distance-left:9.0pt;mso-wrap-distance-top:0.0pt;mso-wrap-distance-right:9.0pt;mso-wrap-distance-bottom:0.0pt;visibility:visible;" filled="f" stroked="f">
              <v:textbox inset="0,0,0,0">
                <w:txbxContent>
                  <w:p>
                    <w:pPr>
                      <w:pStyle w:val="990"/>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num>
  <w:num w:numId="2">
    <w:abstractNumId w:val="14"/>
  </w:num>
  <w:num w:numId="3">
    <w:abstractNumId w:val="29"/>
  </w:num>
  <w:num w:numId="4">
    <w:abstractNumId w:val="1"/>
  </w:num>
  <w:num w:numId="5">
    <w:abstractNumId w:val="4"/>
  </w:num>
  <w:num w:numId="6">
    <w:abstractNumId w:val="27"/>
  </w:num>
  <w:num w:numId="7">
    <w:abstractNumId w:val="36"/>
  </w:num>
  <w:num w:numId="8">
    <w:abstractNumId w:val="10"/>
  </w:num>
  <w:num w:numId="9">
    <w:abstractNumId w:val="15"/>
  </w:num>
  <w:num w:numId="10">
    <w:abstractNumId w:val="5"/>
  </w:num>
  <w:num w:numId="11">
    <w:abstractNumId w:val="23"/>
  </w:num>
  <w:num w:numId="12">
    <w:abstractNumId w:val="2"/>
  </w:num>
  <w:num w:numId="13">
    <w:abstractNumId w:val="20"/>
  </w:num>
  <w:num w:numId="14">
    <w:abstractNumId w:val="19"/>
  </w:num>
  <w:num w:numId="15">
    <w:abstractNumId w:val="33"/>
  </w:num>
  <w:num w:numId="16">
    <w:abstractNumId w:val="3"/>
  </w:num>
  <w:num w:numId="17">
    <w:abstractNumId w:val="13"/>
  </w:num>
  <w:num w:numId="18">
    <w:abstractNumId w:val="6"/>
  </w:num>
  <w:num w:numId="19">
    <w:abstractNumId w:val="7"/>
  </w:num>
  <w:num w:numId="20">
    <w:abstractNumId w:val="32"/>
  </w:num>
  <w:num w:numId="21">
    <w:abstractNumId w:val="9"/>
  </w:num>
  <w:num w:numId="22">
    <w:abstractNumId w:val="35"/>
  </w:num>
  <w:num w:numId="23">
    <w:abstractNumId w:val="12"/>
  </w:num>
  <w:num w:numId="24">
    <w:abstractNumId w:val="30"/>
  </w:num>
  <w:num w:numId="25">
    <w:abstractNumId w:val="34"/>
  </w:num>
  <w:num w:numId="26">
    <w:abstractNumId w:val="8"/>
  </w:num>
  <w:num w:numId="27">
    <w:abstractNumId w:val="0"/>
  </w:num>
  <w:num w:numId="28">
    <w:abstractNumId w:val="16"/>
  </w:num>
  <w:num w:numId="29">
    <w:abstractNumId w:val="11"/>
  </w:num>
  <w:num w:numId="30">
    <w:abstractNumId w:val="31"/>
  </w:num>
  <w:num w:numId="31">
    <w:abstractNumId w:val="24"/>
  </w:num>
  <w:num w:numId="32">
    <w:abstractNumId w:val="25"/>
  </w:num>
  <w:num w:numId="33">
    <w:abstractNumId w:val="26"/>
  </w:num>
  <w:num w:numId="34">
    <w:abstractNumId w:val="22"/>
  </w:num>
  <w:num w:numId="35">
    <w:abstractNumId w:val="21"/>
  </w:num>
  <w:num w:numId="36">
    <w:abstractNumId w:val="28"/>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799"/>
    <w:link w:val="790"/>
    <w:uiPriority w:val="9"/>
    <w:rPr>
      <w:rFonts w:ascii="Arial" w:hAnsi="Arial" w:eastAsia="Arial" w:cs="Arial"/>
      <w:sz w:val="40"/>
      <w:szCs w:val="40"/>
    </w:rPr>
  </w:style>
  <w:style w:type="character" w:styleId="753">
    <w:name w:val="Heading 2 Char"/>
    <w:basedOn w:val="799"/>
    <w:link w:val="791"/>
    <w:uiPriority w:val="9"/>
    <w:rPr>
      <w:rFonts w:ascii="Arial" w:hAnsi="Arial" w:eastAsia="Arial" w:cs="Arial"/>
      <w:sz w:val="34"/>
    </w:rPr>
  </w:style>
  <w:style w:type="character" w:styleId="754">
    <w:name w:val="Heading 3 Char"/>
    <w:basedOn w:val="799"/>
    <w:link w:val="792"/>
    <w:uiPriority w:val="9"/>
    <w:rPr>
      <w:rFonts w:ascii="Arial" w:hAnsi="Arial" w:eastAsia="Arial" w:cs="Arial"/>
      <w:sz w:val="30"/>
      <w:szCs w:val="30"/>
    </w:rPr>
  </w:style>
  <w:style w:type="character" w:styleId="755">
    <w:name w:val="Heading 4 Char"/>
    <w:basedOn w:val="799"/>
    <w:link w:val="793"/>
    <w:uiPriority w:val="9"/>
    <w:rPr>
      <w:rFonts w:ascii="Arial" w:hAnsi="Arial" w:eastAsia="Arial" w:cs="Arial"/>
      <w:b/>
      <w:bCs/>
      <w:sz w:val="26"/>
      <w:szCs w:val="26"/>
    </w:rPr>
  </w:style>
  <w:style w:type="character" w:styleId="756">
    <w:name w:val="Heading 5 Char"/>
    <w:basedOn w:val="799"/>
    <w:link w:val="794"/>
    <w:uiPriority w:val="9"/>
    <w:rPr>
      <w:rFonts w:ascii="Arial" w:hAnsi="Arial" w:eastAsia="Arial" w:cs="Arial"/>
      <w:b/>
      <w:bCs/>
      <w:sz w:val="24"/>
      <w:szCs w:val="24"/>
    </w:rPr>
  </w:style>
  <w:style w:type="character" w:styleId="757">
    <w:name w:val="Heading 6 Char"/>
    <w:basedOn w:val="799"/>
    <w:link w:val="795"/>
    <w:uiPriority w:val="9"/>
    <w:rPr>
      <w:rFonts w:ascii="Arial" w:hAnsi="Arial" w:eastAsia="Arial" w:cs="Arial"/>
      <w:b/>
      <w:bCs/>
      <w:sz w:val="22"/>
      <w:szCs w:val="22"/>
    </w:rPr>
  </w:style>
  <w:style w:type="character" w:styleId="758">
    <w:name w:val="Heading 7 Char"/>
    <w:basedOn w:val="799"/>
    <w:link w:val="796"/>
    <w:uiPriority w:val="9"/>
    <w:rPr>
      <w:rFonts w:ascii="Arial" w:hAnsi="Arial" w:eastAsia="Arial" w:cs="Arial"/>
      <w:b/>
      <w:bCs/>
      <w:i/>
      <w:iCs/>
      <w:sz w:val="22"/>
      <w:szCs w:val="22"/>
    </w:rPr>
  </w:style>
  <w:style w:type="character" w:styleId="759">
    <w:name w:val="Heading 8 Char"/>
    <w:basedOn w:val="799"/>
    <w:link w:val="797"/>
    <w:uiPriority w:val="9"/>
    <w:rPr>
      <w:rFonts w:ascii="Arial" w:hAnsi="Arial" w:eastAsia="Arial" w:cs="Arial"/>
      <w:i/>
      <w:iCs/>
      <w:sz w:val="22"/>
      <w:szCs w:val="22"/>
    </w:rPr>
  </w:style>
  <w:style w:type="character" w:styleId="760">
    <w:name w:val="Heading 9 Char"/>
    <w:basedOn w:val="799"/>
    <w:link w:val="798"/>
    <w:uiPriority w:val="9"/>
    <w:rPr>
      <w:rFonts w:ascii="Arial" w:hAnsi="Arial" w:eastAsia="Arial" w:cs="Arial"/>
      <w:i/>
      <w:iCs/>
      <w:sz w:val="21"/>
      <w:szCs w:val="21"/>
    </w:rPr>
  </w:style>
  <w:style w:type="character" w:styleId="761">
    <w:name w:val="Title Char"/>
    <w:basedOn w:val="799"/>
    <w:link w:val="822"/>
    <w:uiPriority w:val="10"/>
    <w:rPr>
      <w:sz w:val="48"/>
      <w:szCs w:val="48"/>
    </w:rPr>
  </w:style>
  <w:style w:type="character" w:styleId="762">
    <w:name w:val="Subtitle Char"/>
    <w:basedOn w:val="799"/>
    <w:link w:val="815"/>
    <w:uiPriority w:val="11"/>
    <w:rPr>
      <w:sz w:val="24"/>
      <w:szCs w:val="24"/>
    </w:rPr>
  </w:style>
  <w:style w:type="character" w:styleId="763">
    <w:name w:val="Quote Char"/>
    <w:link w:val="843"/>
    <w:uiPriority w:val="29"/>
    <w:rPr>
      <w:i/>
    </w:rPr>
  </w:style>
  <w:style w:type="character" w:styleId="764">
    <w:name w:val="Intense Quote Char"/>
    <w:link w:val="845"/>
    <w:uiPriority w:val="30"/>
    <w:rPr>
      <w:i/>
    </w:rPr>
  </w:style>
  <w:style w:type="character" w:styleId="765">
    <w:name w:val="Header Char"/>
    <w:basedOn w:val="799"/>
    <w:link w:val="812"/>
    <w:uiPriority w:val="99"/>
  </w:style>
  <w:style w:type="character" w:styleId="766">
    <w:name w:val="Caption Char"/>
    <w:basedOn w:val="802"/>
    <w:link w:val="811"/>
    <w:uiPriority w:val="99"/>
  </w:style>
  <w:style w:type="table" w:styleId="767">
    <w:name w:val="Plain Table 1"/>
    <w:basedOn w:val="8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8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8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8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2"/>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3"/>
    <w:basedOn w:val="8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5 Dark"/>
    <w:basedOn w:val="8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6 Colorful"/>
    <w:basedOn w:val="8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7 Colorful"/>
    <w:basedOn w:val="8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List Table 1 Light"/>
    <w:basedOn w:val="8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2"/>
    <w:basedOn w:val="8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3"/>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w:basedOn w:val="8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5 Dark"/>
    <w:basedOn w:val="8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8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7 Colorful"/>
    <w:basedOn w:val="8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6">
    <w:name w:val="Footnote Text Char"/>
    <w:link w:val="816"/>
    <w:uiPriority w:val="99"/>
    <w:rPr>
      <w:sz w:val="18"/>
    </w:rPr>
  </w:style>
  <w:style w:type="character" w:styleId="787">
    <w:name w:val="Endnote Text Char"/>
    <w:link w:val="810"/>
    <w:uiPriority w:val="99"/>
    <w:rPr>
      <w:sz w:val="20"/>
    </w:rPr>
  </w:style>
  <w:style w:type="paragraph" w:styleId="788">
    <w:name w:val="TOC Heading"/>
    <w:uiPriority w:val="39"/>
    <w:unhideWhenUsed/>
  </w:style>
  <w:style w:type="paragraph" w:styleId="78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90">
    <w:name w:val="Heading 1"/>
    <w:basedOn w:val="789"/>
    <w:next w:val="789"/>
    <w:link w:val="830"/>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31"/>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32"/>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33"/>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34"/>
    <w:uiPriority w:val="9"/>
    <w:unhideWhenUsed/>
    <w:qFormat/>
    <w:pPr>
      <w:keepLines/>
      <w:keepNext/>
      <w:spacing w:before="320" w:after="200"/>
      <w:outlineLvl w:val="4"/>
    </w:pPr>
    <w:rPr>
      <w:rFonts w:ascii="Arial" w:hAnsi="Arial" w:eastAsia="Arial" w:cs="Arial"/>
      <w:b/>
      <w:bCs/>
      <w:sz w:val="24"/>
    </w:rPr>
  </w:style>
  <w:style w:type="paragraph" w:styleId="795">
    <w:name w:val="Heading 6"/>
    <w:basedOn w:val="789"/>
    <w:next w:val="789"/>
    <w:link w:val="835"/>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37"/>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38"/>
    <w:uiPriority w:val="9"/>
    <w:unhideWhenUsed/>
    <w:qFormat/>
    <w:pPr>
      <w:keepLines/>
      <w:keepNext/>
      <w:spacing w:before="320" w:after="200"/>
      <w:outlineLvl w:val="8"/>
    </w:pPr>
    <w:rPr>
      <w:rFonts w:ascii="Arial" w:hAnsi="Arial" w:eastAsia="Arial" w:cs="Arial"/>
      <w:i/>
      <w:iCs/>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unhideWhenUsed/>
    <w:qFormat/>
    <w:pPr>
      <w:ind w:left="1701"/>
      <w:spacing w:after="57"/>
    </w:pPr>
  </w:style>
  <w:style w:type="paragraph" w:styleId="802">
    <w:name w:val="Caption"/>
    <w:basedOn w:val="789"/>
    <w:next w:val="7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Document Map"/>
    <w:basedOn w:val="789"/>
    <w:uiPriority w:val="0"/>
    <w:qFormat/>
    <w:pPr>
      <w:spacing w:after="200" w:line="276" w:lineRule="auto"/>
    </w:pPr>
    <w:rPr>
      <w:rFonts w:eastAsiaTheme="minorHAnsi"/>
      <w:szCs w:val="20"/>
      <w:lang w:eastAsia="en-US"/>
    </w:rPr>
  </w:style>
  <w:style w:type="paragraph" w:styleId="804">
    <w:name w:val="annotation text"/>
    <w:basedOn w:val="789"/>
    <w:uiPriority w:val="99"/>
    <w:semiHidden/>
    <w:unhideWhenUsed/>
    <w:qFormat/>
    <w:pPr>
      <w:jc w:val="left"/>
    </w:pPr>
  </w:style>
  <w:style w:type="paragraph" w:styleId="805">
    <w:name w:val="Body Text"/>
    <w:basedOn w:val="789"/>
    <w:next w:val="789"/>
    <w:uiPriority w:val="99"/>
    <w:qFormat/>
    <w:pPr>
      <w:jc w:val="left"/>
      <w:spacing w:after="200" w:line="276" w:lineRule="auto"/>
      <w:widowControl/>
    </w:pPr>
    <w:rPr>
      <w:rFonts w:ascii="楷体_GB2312" w:hAnsi="Arial" w:eastAsia="楷体_GB2312"/>
      <w:sz w:val="28"/>
      <w:lang w:eastAsia="en-US"/>
    </w:rPr>
  </w:style>
  <w:style w:type="paragraph" w:styleId="806">
    <w:name w:val="Body Text Indent"/>
    <w:basedOn w:val="789"/>
    <w:next w:val="789"/>
    <w:uiPriority w:val="0"/>
    <w:qFormat/>
    <w:pPr>
      <w:ind w:firstLine="574"/>
      <w:spacing w:line="312" w:lineRule="atLeast"/>
    </w:pPr>
    <w:rPr>
      <w:rFonts w:ascii="宋体"/>
      <w:sz w:val="28"/>
    </w:rPr>
  </w:style>
  <w:style w:type="paragraph" w:styleId="807">
    <w:name w:val="toc 5"/>
    <w:basedOn w:val="789"/>
    <w:next w:val="789"/>
    <w:uiPriority w:val="39"/>
    <w:unhideWhenUsed/>
    <w:qFormat/>
    <w:pPr>
      <w:ind w:left="1134"/>
      <w:spacing w:after="57"/>
    </w:pPr>
  </w:style>
  <w:style w:type="paragraph" w:styleId="808">
    <w:name w:val="toc 3"/>
    <w:basedOn w:val="789"/>
    <w:next w:val="789"/>
    <w:uiPriority w:val="39"/>
    <w:unhideWhenUsed/>
    <w:qFormat/>
    <w:pPr>
      <w:ind w:left="567"/>
      <w:spacing w:after="57"/>
    </w:pPr>
  </w:style>
  <w:style w:type="paragraph" w:styleId="809">
    <w:name w:val="toc 8"/>
    <w:basedOn w:val="789"/>
    <w:next w:val="789"/>
    <w:uiPriority w:val="39"/>
    <w:unhideWhenUsed/>
    <w:qFormat/>
    <w:pPr>
      <w:ind w:left="1984"/>
      <w:spacing w:after="57"/>
    </w:pPr>
  </w:style>
  <w:style w:type="paragraph" w:styleId="810">
    <w:name w:val="endnote text"/>
    <w:basedOn w:val="789"/>
    <w:link w:val="976"/>
    <w:uiPriority w:val="99"/>
    <w:semiHidden/>
    <w:unhideWhenUsed/>
    <w:qFormat/>
    <w:rPr>
      <w:sz w:val="20"/>
    </w:rPr>
  </w:style>
  <w:style w:type="paragraph" w:styleId="811">
    <w:name w:val="Footer"/>
    <w:basedOn w:val="789"/>
    <w:link w:val="849"/>
    <w:uiPriority w:val="99"/>
    <w:unhideWhenUsed/>
    <w:qFormat/>
    <w:pPr>
      <w:tabs>
        <w:tab w:val="center" w:pos="7143" w:leader="none"/>
        <w:tab w:val="right" w:pos="14287" w:leader="none"/>
      </w:tabs>
    </w:pPr>
  </w:style>
  <w:style w:type="paragraph" w:styleId="812">
    <w:name w:val="Header"/>
    <w:basedOn w:val="789"/>
    <w:link w:val="847"/>
    <w:uiPriority w:val="99"/>
    <w:unhideWhenUsed/>
    <w:qFormat/>
    <w:pPr>
      <w:tabs>
        <w:tab w:val="center" w:pos="7143" w:leader="none"/>
        <w:tab w:val="right" w:pos="14287" w:leader="none"/>
      </w:tabs>
    </w:pPr>
  </w:style>
  <w:style w:type="paragraph" w:styleId="813">
    <w:name w:val="toc 1"/>
    <w:basedOn w:val="789"/>
    <w:next w:val="789"/>
    <w:uiPriority w:val="39"/>
    <w:unhideWhenUsed/>
    <w:qFormat/>
    <w:pPr>
      <w:spacing w:after="57"/>
    </w:pPr>
  </w:style>
  <w:style w:type="paragraph" w:styleId="814">
    <w:name w:val="toc 4"/>
    <w:basedOn w:val="789"/>
    <w:next w:val="789"/>
    <w:uiPriority w:val="39"/>
    <w:unhideWhenUsed/>
    <w:qFormat/>
    <w:pPr>
      <w:ind w:left="850"/>
      <w:spacing w:after="57"/>
    </w:pPr>
  </w:style>
  <w:style w:type="paragraph" w:styleId="815">
    <w:name w:val="Subtitle"/>
    <w:basedOn w:val="789"/>
    <w:next w:val="789"/>
    <w:link w:val="842"/>
    <w:uiPriority w:val="11"/>
    <w:qFormat/>
    <w:pPr>
      <w:spacing w:before="200" w:after="200"/>
    </w:pPr>
    <w:rPr>
      <w:sz w:val="24"/>
    </w:rPr>
  </w:style>
  <w:style w:type="paragraph" w:styleId="816">
    <w:name w:val="footnote text"/>
    <w:basedOn w:val="789"/>
    <w:link w:val="975"/>
    <w:uiPriority w:val="99"/>
    <w:semiHidden/>
    <w:unhideWhenUsed/>
    <w:qFormat/>
    <w:pPr>
      <w:spacing w:after="40"/>
    </w:pPr>
    <w:rPr>
      <w:sz w:val="18"/>
    </w:rPr>
  </w:style>
  <w:style w:type="paragraph" w:styleId="817">
    <w:name w:val="toc 6"/>
    <w:basedOn w:val="789"/>
    <w:next w:val="789"/>
    <w:uiPriority w:val="39"/>
    <w:unhideWhenUsed/>
    <w:qFormat/>
    <w:pPr>
      <w:ind w:left="1417"/>
      <w:spacing w:after="57"/>
    </w:pPr>
  </w:style>
  <w:style w:type="paragraph" w:styleId="818">
    <w:name w:val="table of figures"/>
    <w:basedOn w:val="789"/>
    <w:next w:val="789"/>
    <w:uiPriority w:val="99"/>
    <w:unhideWhenUsed/>
    <w:qFormat/>
  </w:style>
  <w:style w:type="paragraph" w:styleId="819">
    <w:name w:val="toc 2"/>
    <w:basedOn w:val="789"/>
    <w:next w:val="789"/>
    <w:uiPriority w:val="39"/>
    <w:unhideWhenUsed/>
    <w:qFormat/>
    <w:pPr>
      <w:ind w:left="283"/>
      <w:spacing w:after="57"/>
    </w:pPr>
  </w:style>
  <w:style w:type="paragraph" w:styleId="820">
    <w:name w:val="toc 9"/>
    <w:basedOn w:val="789"/>
    <w:next w:val="789"/>
    <w:uiPriority w:val="39"/>
    <w:unhideWhenUsed/>
    <w:qFormat/>
    <w:pPr>
      <w:ind w:left="2268"/>
      <w:spacing w:after="57"/>
    </w:pPr>
  </w:style>
  <w:style w:type="paragraph" w:styleId="821">
    <w:name w:val="Normal (Web)"/>
    <w:basedOn w:val="789"/>
    <w:uiPriority w:val="0"/>
    <w:qFormat/>
    <w:pPr>
      <w:spacing w:after="200" w:line="276" w:lineRule="auto"/>
    </w:pPr>
    <w:rPr>
      <w:rFonts w:eastAsiaTheme="minorHAnsi"/>
      <w:sz w:val="22"/>
      <w:szCs w:val="20"/>
      <w:lang w:eastAsia="en-US"/>
    </w:rPr>
  </w:style>
  <w:style w:type="paragraph" w:styleId="822">
    <w:name w:val="Title"/>
    <w:basedOn w:val="789"/>
    <w:next w:val="789"/>
    <w:link w:val="841"/>
    <w:uiPriority w:val="10"/>
    <w:qFormat/>
    <w:pPr>
      <w:contextualSpacing/>
      <w:spacing w:before="300" w:after="200"/>
    </w:pPr>
    <w:rPr>
      <w:sz w:val="48"/>
      <w:szCs w:val="48"/>
    </w:rPr>
  </w:style>
  <w:style w:type="paragraph" w:styleId="823">
    <w:name w:val="Body Text First Indent"/>
    <w:basedOn w:val="789"/>
    <w:next w:val="789"/>
    <w:uiPriority w:val="0"/>
    <w:qFormat/>
    <w:pPr>
      <w:ind w:firstLine="420"/>
      <w:spacing w:after="120"/>
    </w:pPr>
    <w:rPr>
      <w:rFonts w:ascii="Tahoma" w:hAnsi="Tahoma" w:eastAsia="Times New Roman"/>
    </w:rPr>
  </w:style>
  <w:style w:type="paragraph" w:styleId="824">
    <w:name w:val="Body Text First Indent 2"/>
    <w:basedOn w:val="806"/>
    <w:uiPriority w:val="99"/>
    <w:unhideWhenUsed/>
    <w:qFormat/>
    <w:pPr>
      <w:ind w:firstLine="420"/>
      <w:jc w:val="left"/>
      <w:widowControl/>
    </w:pPr>
    <w:rPr>
      <w:rFonts w:ascii="Times New Roman" w:eastAsiaTheme="minorHAnsi"/>
      <w:sz w:val="24"/>
      <w:lang w:eastAsia="en-US"/>
    </w:r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9"/>
    <w:uiPriority w:val="0"/>
    <w:qFormat/>
    <w:rPr>
      <w:b/>
    </w:rPr>
  </w:style>
  <w:style w:type="character" w:styleId="827">
    <w:name w:val="endnote reference"/>
    <w:uiPriority w:val="99"/>
    <w:semiHidden/>
    <w:unhideWhenUsed/>
    <w:qFormat/>
    <w:rPr>
      <w:vertAlign w:val="superscript"/>
    </w:rPr>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footnote reference"/>
    <w:uiPriority w:val="99"/>
    <w:unhideWhenUsed/>
    <w:qFormat/>
    <w:rPr>
      <w:vertAlign w:val="superscript"/>
    </w:rPr>
  </w:style>
  <w:style w:type="character" w:styleId="830" w:customStyle="1">
    <w:name w:val="标题 1 Char"/>
    <w:link w:val="790"/>
    <w:uiPriority w:val="9"/>
    <w:qFormat/>
    <w:rPr>
      <w:rFonts w:ascii="Arial" w:hAnsi="Arial" w:eastAsia="Arial" w:cs="Arial"/>
      <w:sz w:val="40"/>
      <w:szCs w:val="40"/>
    </w:rPr>
  </w:style>
  <w:style w:type="character" w:styleId="831" w:customStyle="1">
    <w:name w:val="标题 2 Char"/>
    <w:link w:val="791"/>
    <w:uiPriority w:val="9"/>
    <w:qFormat/>
    <w:rPr>
      <w:rFonts w:ascii="Arial" w:hAnsi="Arial" w:eastAsia="Arial" w:cs="Arial"/>
      <w:sz w:val="34"/>
    </w:rPr>
  </w:style>
  <w:style w:type="character" w:styleId="832" w:customStyle="1">
    <w:name w:val="标题 3 Char"/>
    <w:link w:val="792"/>
    <w:uiPriority w:val="9"/>
    <w:qFormat/>
    <w:rPr>
      <w:rFonts w:ascii="Arial" w:hAnsi="Arial" w:eastAsia="Arial" w:cs="Arial"/>
      <w:sz w:val="30"/>
      <w:szCs w:val="30"/>
    </w:rPr>
  </w:style>
  <w:style w:type="character" w:styleId="833" w:customStyle="1">
    <w:name w:val="标题 4 Char"/>
    <w:link w:val="793"/>
    <w:uiPriority w:val="9"/>
    <w:qFormat/>
    <w:rPr>
      <w:rFonts w:ascii="Arial" w:hAnsi="Arial" w:eastAsia="Arial" w:cs="Arial"/>
      <w:b/>
      <w:bCs/>
      <w:sz w:val="26"/>
      <w:szCs w:val="26"/>
    </w:rPr>
  </w:style>
  <w:style w:type="character" w:styleId="834" w:customStyle="1">
    <w:name w:val="标题 5 Char"/>
    <w:link w:val="794"/>
    <w:uiPriority w:val="9"/>
    <w:qFormat/>
    <w:rPr>
      <w:rFonts w:ascii="Arial" w:hAnsi="Arial" w:eastAsia="Arial" w:cs="Arial"/>
      <w:b/>
      <w:bCs/>
      <w:sz w:val="24"/>
      <w:szCs w:val="24"/>
    </w:rPr>
  </w:style>
  <w:style w:type="character" w:styleId="835" w:customStyle="1">
    <w:name w:val="标题 6 Char"/>
    <w:link w:val="795"/>
    <w:uiPriority w:val="9"/>
    <w:qFormat/>
    <w:rPr>
      <w:rFonts w:ascii="Arial" w:hAnsi="Arial" w:eastAsia="Arial" w:cs="Arial"/>
      <w:b/>
      <w:bCs/>
      <w:sz w:val="22"/>
      <w:szCs w:val="22"/>
    </w:rPr>
  </w:style>
  <w:style w:type="character" w:styleId="836" w:customStyle="1">
    <w:name w:val="标题 7 Char"/>
    <w:link w:val="796"/>
    <w:uiPriority w:val="9"/>
    <w:qFormat/>
    <w:rPr>
      <w:rFonts w:ascii="Arial" w:hAnsi="Arial" w:eastAsia="Arial" w:cs="Arial"/>
      <w:b/>
      <w:bCs/>
      <w:i/>
      <w:iCs/>
      <w:sz w:val="22"/>
      <w:szCs w:val="22"/>
    </w:rPr>
  </w:style>
  <w:style w:type="character" w:styleId="837" w:customStyle="1">
    <w:name w:val="标题 8 Char"/>
    <w:link w:val="797"/>
    <w:uiPriority w:val="9"/>
    <w:qFormat/>
    <w:rPr>
      <w:rFonts w:ascii="Arial" w:hAnsi="Arial" w:eastAsia="Arial" w:cs="Arial"/>
      <w:i/>
      <w:iCs/>
      <w:sz w:val="22"/>
      <w:szCs w:val="22"/>
    </w:rPr>
  </w:style>
  <w:style w:type="character" w:styleId="838" w:customStyle="1">
    <w:name w:val="标题 9 Char"/>
    <w:link w:val="798"/>
    <w:uiPriority w:val="9"/>
    <w:qFormat/>
    <w:rPr>
      <w:rFonts w:ascii="Arial" w:hAnsi="Arial" w:eastAsia="Arial" w:cs="Arial"/>
      <w:i/>
      <w:iCs/>
      <w:sz w:val="21"/>
      <w:szCs w:val="21"/>
    </w:rPr>
  </w:style>
  <w:style w:type="paragraph" w:styleId="839">
    <w:name w:val="List Paragraph"/>
    <w:basedOn w:val="789"/>
    <w:uiPriority w:val="34"/>
    <w:qFormat/>
    <w:pPr>
      <w:contextualSpacing/>
      <w:ind w:left="720"/>
    </w:pPr>
  </w:style>
  <w:style w:type="paragraph" w:styleId="840">
    <w:name w:val="No Spacing"/>
    <w:basedOn w:val="789"/>
    <w:uiPriority w:val="1"/>
    <w:qFormat/>
    <w:rPr>
      <w:rFonts w:ascii="Times New Roman" w:hAnsi="Times New Roman"/>
    </w:rPr>
  </w:style>
  <w:style w:type="character" w:styleId="841" w:customStyle="1">
    <w:name w:val="标题 Char"/>
    <w:link w:val="822"/>
    <w:uiPriority w:val="10"/>
    <w:qFormat/>
    <w:rPr>
      <w:sz w:val="48"/>
      <w:szCs w:val="48"/>
    </w:rPr>
  </w:style>
  <w:style w:type="character" w:styleId="842" w:customStyle="1">
    <w:name w:val="副标题 Char"/>
    <w:link w:val="815"/>
    <w:uiPriority w:val="11"/>
    <w:qFormat/>
    <w:rPr>
      <w:sz w:val="24"/>
      <w:szCs w:val="24"/>
    </w:rPr>
  </w:style>
  <w:style w:type="paragraph" w:styleId="843">
    <w:name w:val="Quote"/>
    <w:basedOn w:val="789"/>
    <w:next w:val="789"/>
    <w:link w:val="844"/>
    <w:uiPriority w:val="29"/>
    <w:qFormat/>
    <w:pPr>
      <w:ind w:left="720" w:right="720"/>
    </w:pPr>
    <w:rPr>
      <w:i/>
    </w:rPr>
  </w:style>
  <w:style w:type="character" w:styleId="844" w:customStyle="1">
    <w:name w:val="引用 Char"/>
    <w:link w:val="843"/>
    <w:uiPriority w:val="29"/>
    <w:qFormat/>
    <w:rPr>
      <w:i/>
    </w:rPr>
  </w:style>
  <w:style w:type="paragraph" w:styleId="845">
    <w:name w:val="Intense Quote"/>
    <w:basedOn w:val="789"/>
    <w:next w:val="789"/>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Char"/>
    <w:link w:val="845"/>
    <w:uiPriority w:val="30"/>
    <w:qFormat/>
    <w:rPr>
      <w:i/>
    </w:rPr>
  </w:style>
  <w:style w:type="character" w:styleId="847" w:customStyle="1">
    <w:name w:val="页眉 Char1"/>
    <w:link w:val="812"/>
    <w:uiPriority w:val="99"/>
    <w:qFormat/>
  </w:style>
  <w:style w:type="character" w:styleId="848" w:customStyle="1">
    <w:name w:val="Footer Char"/>
    <w:uiPriority w:val="99"/>
    <w:qFormat/>
  </w:style>
  <w:style w:type="character" w:styleId="849" w:customStyle="1">
    <w:name w:val="页脚 Char"/>
    <w:link w:val="811"/>
    <w:uiPriority w:val="99"/>
    <w:qFormat/>
  </w:style>
  <w:style w:type="table" w:styleId="85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脚注文本 Char"/>
    <w:link w:val="816"/>
    <w:uiPriority w:val="99"/>
    <w:qFormat/>
    <w:rPr>
      <w:sz w:val="18"/>
    </w:rPr>
  </w:style>
  <w:style w:type="character" w:styleId="976" w:customStyle="1">
    <w:name w:val="尾注文本 Char"/>
    <w:link w:val="810"/>
    <w:uiPriority w:val="99"/>
    <w:qFormat/>
    <w:rPr>
      <w:sz w:val="20"/>
    </w:rPr>
  </w:style>
  <w:style w:type="paragraph" w:styleId="977" w:customStyle="1">
    <w:name w:val="TOC 标题1"/>
    <w:uiPriority w:val="39"/>
    <w:unhideWhenUsed/>
    <w:qFormat/>
    <w:rPr>
      <w:rFonts w:ascii="Times New Roman" w:hAnsi="Times New Roman" w:eastAsia="宋体" w:cs="Times New Roman"/>
      <w:lang w:val="en-US" w:eastAsia="zh-CN" w:bidi="ar-SA"/>
    </w:rPr>
  </w:style>
  <w:style w:type="paragraph" w:styleId="978" w:customStyle="1">
    <w:name w:val="标题 21"/>
    <w:basedOn w:val="789"/>
    <w:next w:val="789"/>
    <w:uiPriority w:val="9"/>
    <w:qFormat/>
    <w:pPr>
      <w:keepLines/>
      <w:keepNext/>
      <w:spacing w:before="360"/>
      <w:outlineLvl w:val="1"/>
    </w:pPr>
    <w:rPr>
      <w:sz w:val="34"/>
      <w:szCs w:val="20"/>
    </w:rPr>
  </w:style>
  <w:style w:type="paragraph" w:styleId="979" w:customStyle="1">
    <w:name w:val="标题 41"/>
    <w:basedOn w:val="789"/>
    <w:next w:val="789"/>
    <w:uiPriority w:val="9"/>
    <w:unhideWhenUsed/>
    <w:qFormat/>
    <w:pPr>
      <w:keepLines/>
      <w:keepNext/>
      <w:spacing w:before="320" w:after="200"/>
      <w:outlineLvl w:val="3"/>
    </w:pPr>
    <w:rPr>
      <w:rFonts w:ascii="Arial" w:hAnsi="Arial" w:eastAsia="Arial" w:cs="Arial"/>
      <w:b/>
      <w:bCs/>
      <w:sz w:val="26"/>
      <w:szCs w:val="26"/>
    </w:rPr>
  </w:style>
  <w:style w:type="character" w:styleId="980" w:customStyle="1">
    <w:name w:val="默认段落字体1"/>
    <w:uiPriority w:val="0"/>
    <w:semiHidden/>
    <w:qFormat/>
  </w:style>
  <w:style w:type="table" w:styleId="981" w:customStyle="1">
    <w:name w:val="普通表格1"/>
    <w:uiPriority w:val="0"/>
    <w:semiHidden/>
    <w:qFormat/>
    <w:tblPr>
      <w:tblCellMar>
        <w:left w:w="0" w:type="dxa"/>
        <w:top w:w="0" w:type="dxa"/>
        <w:right w:w="0" w:type="dxa"/>
        <w:bottom w:w="0" w:type="dxa"/>
      </w:tblCellMar>
    </w:tblPr>
  </w:style>
  <w:style w:type="paragraph" w:styleId="982" w:customStyle="1">
    <w:name w:val="正文缩进1"/>
    <w:basedOn w:val="789"/>
    <w:uiPriority w:val="0"/>
    <w:qFormat/>
    <w:pPr>
      <w:ind w:firstLine="420"/>
    </w:pPr>
  </w:style>
  <w:style w:type="paragraph" w:styleId="983" w:customStyle="1">
    <w:name w:val="文档结构图1"/>
    <w:basedOn w:val="789"/>
    <w:next w:val="984"/>
    <w:uiPriority w:val="0"/>
    <w:qFormat/>
    <w:pPr>
      <w:spacing w:after="200" w:line="276" w:lineRule="auto"/>
    </w:pPr>
    <w:rPr>
      <w:rFonts w:eastAsia="Calibri"/>
      <w:szCs w:val="20"/>
      <w:lang w:eastAsia="en-US"/>
    </w:rPr>
  </w:style>
  <w:style w:type="paragraph" w:styleId="984" w:customStyle="1">
    <w:name w:val="正文文本1"/>
    <w:basedOn w:val="789"/>
    <w:next w:val="789"/>
    <w:uiPriority w:val="99"/>
    <w:qFormat/>
    <w:rPr>
      <w:rFonts w:ascii="楷体_GB2312" w:eastAsia="楷体_GB2312"/>
      <w:sz w:val="28"/>
    </w:rPr>
  </w:style>
  <w:style w:type="paragraph" w:styleId="985" w:customStyle="1">
    <w:name w:val="批注文字1"/>
    <w:basedOn w:val="789"/>
    <w:uiPriority w:val="99"/>
    <w:unhideWhenUsed/>
    <w:qFormat/>
    <w:pPr>
      <w:jc w:val="left"/>
    </w:pPr>
  </w:style>
  <w:style w:type="paragraph" w:styleId="986" w:customStyle="1">
    <w:name w:val="正文文本缩进1"/>
    <w:basedOn w:val="789"/>
    <w:next w:val="789"/>
    <w:uiPriority w:val="0"/>
    <w:qFormat/>
    <w:pPr>
      <w:ind w:firstLine="574"/>
      <w:spacing w:line="312" w:lineRule="atLeast"/>
    </w:pPr>
    <w:rPr>
      <w:rFonts w:ascii="宋体"/>
      <w:sz w:val="28"/>
    </w:rPr>
  </w:style>
  <w:style w:type="paragraph" w:styleId="987" w:customStyle="1">
    <w:name w:val="纯文本1"/>
    <w:basedOn w:val="789"/>
    <w:uiPriority w:val="0"/>
    <w:qFormat/>
    <w:rPr>
      <w:rFonts w:ascii="宋体" w:hAnsi="Courier New" w:cs="Courier New"/>
      <w:szCs w:val="21"/>
    </w:rPr>
  </w:style>
  <w:style w:type="paragraph" w:styleId="988" w:customStyle="1">
    <w:name w:val="批注框文本1"/>
    <w:basedOn w:val="789"/>
    <w:link w:val="989"/>
    <w:uiPriority w:val="0"/>
    <w:qFormat/>
    <w:rPr>
      <w:sz w:val="18"/>
      <w:szCs w:val="18"/>
    </w:rPr>
  </w:style>
  <w:style w:type="character" w:styleId="989" w:customStyle="1">
    <w:name w:val="批注框文本 Char"/>
    <w:link w:val="988"/>
    <w:uiPriority w:val="0"/>
    <w:qFormat/>
    <w:rPr>
      <w:rFonts w:ascii="Calibri" w:hAnsi="Calibri"/>
      <w:sz w:val="18"/>
      <w:szCs w:val="18"/>
    </w:rPr>
  </w:style>
  <w:style w:type="paragraph" w:styleId="990" w:customStyle="1">
    <w:name w:val="页脚1"/>
    <w:basedOn w:val="789"/>
    <w:uiPriority w:val="99"/>
    <w:unhideWhenUsed/>
    <w:qFormat/>
    <w:pPr>
      <w:tabs>
        <w:tab w:val="center" w:pos="7143" w:leader="none"/>
        <w:tab w:val="right" w:pos="14287" w:leader="none"/>
      </w:tabs>
    </w:pPr>
  </w:style>
  <w:style w:type="paragraph" w:styleId="991" w:customStyle="1">
    <w:name w:val="页眉1"/>
    <w:basedOn w:val="789"/>
    <w:link w:val="992"/>
    <w:uiPriority w:val="0"/>
    <w:qFormat/>
    <w:pPr>
      <w:jc w:val="center"/>
      <w:tabs>
        <w:tab w:val="center" w:pos="4153" w:leader="none"/>
        <w:tab w:val="right" w:pos="8306" w:leader="none"/>
      </w:tabs>
      <w:pBdr>
        <w:bottom w:val="single" w:color="000000" w:sz="6" w:space="1"/>
      </w:pBdr>
    </w:pPr>
    <w:rPr>
      <w:sz w:val="18"/>
      <w:szCs w:val="18"/>
    </w:rPr>
  </w:style>
  <w:style w:type="character" w:styleId="992" w:customStyle="1">
    <w:name w:val="页眉 Char"/>
    <w:link w:val="991"/>
    <w:uiPriority w:val="0"/>
    <w:qFormat/>
    <w:rPr>
      <w:rFonts w:ascii="Calibri" w:hAnsi="Calibri"/>
      <w:sz w:val="18"/>
      <w:szCs w:val="18"/>
    </w:rPr>
  </w:style>
  <w:style w:type="paragraph" w:styleId="993" w:customStyle="1">
    <w:name w:val="普通(网站)1"/>
    <w:basedOn w:val="789"/>
    <w:uiPriority w:val="0"/>
    <w:qFormat/>
    <w:pPr>
      <w:spacing w:after="200" w:line="276" w:lineRule="auto"/>
    </w:pPr>
    <w:rPr>
      <w:rFonts w:eastAsia="Calibri"/>
      <w:sz w:val="22"/>
      <w:szCs w:val="20"/>
      <w:lang w:eastAsia="en-US"/>
    </w:rPr>
  </w:style>
  <w:style w:type="paragraph" w:styleId="994" w:customStyle="1">
    <w:name w:val="正文首行缩进 21"/>
    <w:basedOn w:val="986"/>
    <w:uiPriority w:val="99"/>
    <w:unhideWhenUsed/>
    <w:qFormat/>
    <w:pPr>
      <w:ind w:left="420" w:firstLine="420"/>
      <w:spacing w:after="120" w:line="240" w:lineRule="auto"/>
    </w:pPr>
    <w:rPr>
      <w:rFonts w:ascii="Times New Roman"/>
      <w:sz w:val="24"/>
    </w:rPr>
  </w:style>
  <w:style w:type="table" w:styleId="995" w:customStyle="1">
    <w:name w:val="网格型1"/>
    <w:basedOn w:val="981"/>
    <w:uiPriority w:val="59"/>
    <w:qFormat/>
    <w:pPr>
      <w:jc w:val="both"/>
      <w:widowControl w:val="off"/>
    </w:pPr>
    <w:tblPr/>
  </w:style>
  <w:style w:type="character" w:styleId="996" w:customStyle="1">
    <w:name w:val="要点1"/>
    <w:uiPriority w:val="0"/>
    <w:qFormat/>
    <w:rPr>
      <w:b/>
    </w:rPr>
  </w:style>
  <w:style w:type="character" w:styleId="997" w:customStyle="1">
    <w:name w:val="font41"/>
    <w:uiPriority w:val="0"/>
    <w:qFormat/>
    <w:rPr>
      <w:rFonts w:hint="eastAsia" w:ascii="宋体" w:hAnsi="宋体" w:eastAsia="宋体" w:cs="宋体"/>
      <w:color w:val="000000"/>
      <w:sz w:val="32"/>
      <w:szCs w:val="32"/>
      <w:u w:val="none"/>
    </w:rPr>
  </w:style>
  <w:style w:type="paragraph" w:styleId="998" w:customStyle="1">
    <w:name w:val="纯文本2"/>
    <w:basedOn w:val="789"/>
    <w:uiPriority w:val="0"/>
    <w:qFormat/>
    <w:rPr>
      <w:rFonts w:ascii="宋体" w:hAnsi="Courier New" w:eastAsia="楷体_GB2312"/>
      <w:sz w:val="26"/>
      <w:szCs w:val="20"/>
    </w:rPr>
  </w:style>
  <w:style w:type="paragraph" w:styleId="999" w:customStyle="1">
    <w:name w:val="01 章标"/>
    <w:basedOn w:val="789"/>
    <w:uiPriority w:val="0"/>
    <w:qFormat/>
    <w:pPr>
      <w:ind w:firstLine="883"/>
      <w:jc w:val="center"/>
      <w:outlineLvl w:val="0"/>
    </w:pPr>
    <w:rPr>
      <w:b/>
      <w:sz w:val="44"/>
      <w:szCs w:val="44"/>
    </w:rPr>
  </w:style>
  <w:style w:type="paragraph" w:styleId="1000" w:customStyle="1">
    <w:name w:val="无间隔1"/>
    <w:basedOn w:val="789"/>
    <w:uiPriority w:val="1"/>
    <w:qFormat/>
    <w:rPr>
      <w:rFonts w:ascii="Times New Roman" w:hAnsi="Times New Roman"/>
    </w:rPr>
  </w:style>
  <w:style w:type="paragraph" w:styleId="100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02" w:customStyle="1">
    <w:name w:val="列出段落11"/>
    <w:basedOn w:val="789"/>
    <w:uiPriority w:val="34"/>
    <w:qFormat/>
    <w:pPr>
      <w:ind w:firstLine="420"/>
    </w:pPr>
  </w:style>
  <w:style w:type="paragraph" w:styleId="1003" w:customStyle="1">
    <w:name w:val="段"/>
    <w:next w:val="789"/>
    <w:uiPriority w:val="0"/>
    <w:qFormat/>
    <w:pPr>
      <w:ind w:firstLine="200"/>
      <w:jc w:val="both"/>
    </w:pPr>
    <w:rPr>
      <w:rFonts w:ascii="宋体" w:hAnsi="Times New Roman" w:eastAsia="宋体" w:cs="Times New Roman"/>
      <w:lang w:val="en-US" w:eastAsia="zh-CN" w:bidi="ar-SA"/>
    </w:rPr>
  </w:style>
  <w:style w:type="paragraph" w:styleId="1004" w:customStyle="1">
    <w:name w:val="列出段落1"/>
    <w:basedOn w:val="789"/>
    <w:uiPriority w:val="0"/>
    <w:qFormat/>
    <w:pPr>
      <w:ind w:firstLine="420"/>
      <w:jc w:val="left"/>
      <w:spacing w:after="200" w:line="276" w:lineRule="auto"/>
      <w:widowControl/>
    </w:pPr>
    <w:rPr>
      <w:rFonts w:ascii="Arial" w:hAnsi="Arial" w:eastAsia="Arial"/>
      <w:sz w:val="22"/>
      <w:szCs w:val="21"/>
      <w:lang w:eastAsia="en-US"/>
    </w:rPr>
  </w:style>
  <w:style w:type="character" w:styleId="1005" w:customStyle="1">
    <w:name w:val="font11"/>
    <w:basedOn w:val="799"/>
    <w:uiPriority w:val="0"/>
    <w:qFormat/>
    <w:rPr>
      <w:rFonts w:hint="eastAsia" w:ascii="宋体" w:hAnsi="宋体" w:eastAsia="宋体" w:cs="宋体"/>
      <w:color w:val="000000"/>
      <w:sz w:val="20"/>
      <w:szCs w:val="20"/>
      <w:u w:val="none"/>
    </w:rPr>
  </w:style>
  <w:style w:type="character" w:styleId="1006" w:customStyle="1">
    <w:name w:val="font61"/>
    <w:basedOn w:val="799"/>
    <w:uiPriority w:val="0"/>
    <w:qFormat/>
    <w:rPr>
      <w:rFonts w:hint="eastAsia" w:ascii="宋体" w:hAnsi="宋体" w:eastAsia="宋体" w:cs="宋体"/>
      <w:color w:val="000000"/>
      <w:sz w:val="20"/>
      <w:szCs w:val="20"/>
      <w:u w:val="none"/>
    </w:rPr>
  </w:style>
  <w:style w:type="character" w:styleId="1007" w:customStyle="1">
    <w:name w:val="font131"/>
    <w:basedOn w:val="799"/>
    <w:uiPriority w:val="0"/>
    <w:qFormat/>
    <w:rPr>
      <w:rFonts w:hint="eastAsia" w:ascii="宋体" w:hAnsi="宋体" w:eastAsia="宋体" w:cs="宋体"/>
      <w:b/>
      <w:bCs/>
      <w:color w:val="000000"/>
      <w:sz w:val="20"/>
      <w:szCs w:val="20"/>
      <w:u w:val="none"/>
    </w:rPr>
  </w:style>
  <w:style w:type="character" w:styleId="1008" w:customStyle="1">
    <w:name w:val="font21"/>
    <w:basedOn w:val="799"/>
    <w:uiPriority w:val="0"/>
    <w:qFormat/>
    <w:rPr>
      <w:rFonts w:hint="eastAsia" w:ascii="宋体" w:hAnsi="宋体" w:eastAsia="宋体" w:cs="宋体"/>
      <w:color w:val="000000"/>
      <w:sz w:val="18"/>
      <w:szCs w:val="18"/>
      <w:u w:val="none"/>
    </w:rPr>
  </w:style>
  <w:style w:type="character" w:styleId="1009" w:customStyle="1">
    <w:name w:val="font141"/>
    <w:basedOn w:val="799"/>
    <w:uiPriority w:val="0"/>
    <w:qFormat/>
    <w:rPr>
      <w:rFonts w:hint="eastAsia" w:ascii="宋体" w:hAnsi="宋体" w:eastAsia="宋体" w:cs="宋体"/>
      <w:b/>
      <w:bCs/>
      <w:color w:val="000000"/>
      <w:sz w:val="20"/>
      <w:szCs w:val="20"/>
      <w:u w:val="none"/>
    </w:rPr>
  </w:style>
  <w:style w:type="character" w:styleId="1010" w:customStyle="1">
    <w:name w:val="font31"/>
    <w:basedOn w:val="799"/>
    <w:uiPriority w:val="0"/>
    <w:qFormat/>
    <w:rPr>
      <w:rFonts w:hint="eastAsia" w:ascii="仿宋" w:hAnsi="仿宋" w:eastAsia="仿宋" w:cs="仿宋"/>
      <w:color w:val="000000"/>
      <w:sz w:val="20"/>
      <w:szCs w:val="20"/>
      <w:u w:val="none"/>
    </w:rPr>
  </w:style>
  <w:style w:type="character" w:styleId="1011" w:customStyle="1">
    <w:name w:val="17"/>
    <w:basedOn w:val="799"/>
    <w:uiPriority w:val="0"/>
    <w:qFormat/>
    <w:rPr>
      <w:rFonts w:hint="eastAsia" w:ascii="宋体" w:hAnsi="宋体" w:eastAsia="宋体" w:cs="宋体"/>
      <w:color w:val="000000"/>
      <w:sz w:val="20"/>
      <w:szCs w:val="20"/>
    </w:rPr>
  </w:style>
  <w:style w:type="character" w:styleId="1012" w:customStyle="1">
    <w:name w:val="19"/>
    <w:basedOn w:val="799"/>
    <w:uiPriority w:val="0"/>
    <w:qFormat/>
    <w:rPr>
      <w:rFonts w:hint="default" w:ascii="Times New Roman" w:hAnsi="Times New Roman" w:cs="Times New Roman"/>
      <w:color w:val="000000"/>
      <w:sz w:val="20"/>
      <w:szCs w:val="20"/>
    </w:rPr>
  </w:style>
  <w:style w:type="paragraph" w:styleId="1013" w:customStyle="1">
    <w:name w:val="Table Text"/>
    <w:basedOn w:val="789"/>
    <w:uiPriority w:val="0"/>
    <w:semiHidden/>
    <w:qFormat/>
    <w:rPr>
      <w:rFonts w:ascii="黑体" w:hAnsi="黑体" w:eastAsia="黑体" w:cs="黑体"/>
      <w:sz w:val="18"/>
      <w:szCs w:val="18"/>
      <w:lang w:eastAsia="en-US"/>
    </w:rPr>
  </w:style>
  <w:style w:type="character" w:styleId="1014" w:customStyle="1">
    <w:name w:val="font01"/>
    <w:basedOn w:val="799"/>
    <w:uiPriority w:val="0"/>
    <w:qFormat/>
    <w:rPr>
      <w:rFonts w:hint="eastAsia" w:ascii="宋体" w:hAnsi="宋体" w:eastAsia="宋体" w:cs="宋体"/>
      <w:color w:val="000000"/>
      <w:sz w:val="22"/>
      <w:szCs w:val="22"/>
      <w:u w:val="none"/>
    </w:rPr>
  </w:style>
  <w:style w:type="character" w:styleId="1015" w:customStyle="1">
    <w:name w:val="font51"/>
    <w:basedOn w:val="799"/>
    <w:uiPriority w:val="0"/>
    <w:qFormat/>
    <w:rPr>
      <w:rFonts w:hint="eastAsia" w:ascii="宋体" w:hAnsi="宋体" w:eastAsia="宋体" w:cs="宋体"/>
      <w:color w:val="000000"/>
      <w:sz w:val="22"/>
      <w:szCs w:val="22"/>
      <w:u w:val="none"/>
    </w:rPr>
  </w:style>
  <w:style w:type="character" w:styleId="1016" w:customStyle="1">
    <w:name w:val="font181"/>
    <w:basedOn w:val="799"/>
    <w:uiPriority w:val="0"/>
    <w:qFormat/>
    <w:rPr>
      <w:rFonts w:hint="eastAsia" w:ascii="宋体" w:hAnsi="宋体" w:eastAsia="宋体" w:cs="宋体"/>
      <w:color w:val="000000"/>
      <w:sz w:val="22"/>
      <w:szCs w:val="22"/>
      <w:u w:val="none"/>
      <w:vertAlign w:val="superscript"/>
    </w:rPr>
  </w:style>
  <w:style w:type="paragraph" w:styleId="1017" w:customStyle="1">
    <w:name w:val="无间隔2"/>
    <w:basedOn w:val="789"/>
    <w:uiPriority w:val="99"/>
    <w:qFormat/>
  </w:style>
  <w:style w:type="character" w:styleId="1018" w:customStyle="1">
    <w:name w:val="NormalCharacter1"/>
    <w:uiPriority w:val="0"/>
    <w:qFormat/>
    <w:rPr>
      <w:rFonts w:ascii="Calibri" w:hAnsi="Calibri" w:eastAsia="宋体" w:cs="Times New Roman"/>
      <w:sz w:val="21"/>
      <w:lang w:val="en-US" w:eastAsia="zh-CN" w:bidi="ar-SA"/>
    </w:rPr>
  </w:style>
  <w:style w:type="table" w:styleId="1019" w:customStyle="1">
    <w:name w:val="网格型2"/>
    <w:basedOn w:val="800"/>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张倩</cp:lastModifiedBy>
  <cp:revision>23</cp:revision>
  <dcterms:created xsi:type="dcterms:W3CDTF">2025-02-08T06:52:00Z</dcterms:created>
  <dcterms:modified xsi:type="dcterms:W3CDTF">2026-01-09T03:09:37Z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eyJoZGlkIjoiYzBmMTFkM2YzY2FiNTQ0MmZmMjliOTA5MjdiNmI1NDUiLCJ1c2VySWQiOiI0NTU4MjY1MzAifQ==</vt:lpwstr>
  </property>
  <property fmtid="{D5CDD505-2E9C-101B-9397-08002B2CF9AE}" pid="3" name="KSOProductBuildVer">
    <vt:lpwstr>2052-12.1.0.24034</vt:lpwstr>
  </property>
  <property fmtid="{D5CDD505-2E9C-101B-9397-08002B2CF9AE}" pid="4" name="ICV">
    <vt:lpwstr>2C9AC7F3EED34340A52F3D34BD05D9B2_13</vt:lpwstr>
  </property>
</Properties>
</file>